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448E"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639ECFBB"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5E941219"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718728C3"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6933BF51"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013F77A6"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7ADDBA06"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27366428"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6CAD07CE"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4511494B"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4335ABF8"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7D132E3E"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717EE317" w14:textId="6859A111" w:rsidR="003E6A3F" w:rsidRPr="005F0ABA" w:rsidRDefault="006E6B76">
      <w:pPr>
        <w:adjustRightInd w:val="0"/>
        <w:snapToGrid w:val="0"/>
        <w:jc w:val="center"/>
        <w:rPr>
          <w:rFonts w:ascii="宋体" w:hAnsi="宋体" w:cs="Arial"/>
          <w:b/>
          <w:color w:val="000000" w:themeColor="text1"/>
          <w:sz w:val="48"/>
          <w:szCs w:val="48"/>
        </w:rPr>
      </w:pPr>
      <w:proofErr w:type="gramStart"/>
      <w:r w:rsidRPr="005F0ABA">
        <w:rPr>
          <w:rFonts w:ascii="宋体" w:hAnsi="宋体" w:cs="Arial" w:hint="eastAsia"/>
          <w:b/>
          <w:color w:val="000000" w:themeColor="text1"/>
          <w:sz w:val="48"/>
          <w:szCs w:val="48"/>
        </w:rPr>
        <w:t>浦银裕鑫</w:t>
      </w:r>
      <w:proofErr w:type="gramEnd"/>
      <w:r w:rsidRPr="005F0ABA">
        <w:rPr>
          <w:rFonts w:ascii="宋体" w:hAnsi="宋体" w:cs="Arial" w:hint="eastAsia"/>
          <w:b/>
          <w:color w:val="000000" w:themeColor="text1"/>
          <w:sz w:val="48"/>
          <w:szCs w:val="48"/>
        </w:rPr>
        <w:t>120天持有期债券型证券投资基金托管协议</w:t>
      </w:r>
    </w:p>
    <w:p w14:paraId="2BDAD0C2"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04876F6F"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5ACA9757"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291CD047"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516F0E4E"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2C84B05C"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796E9415"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2233E197"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3B62305A"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40E5C603" w14:textId="77777777" w:rsidR="003E6A3F" w:rsidRPr="005F0ABA" w:rsidRDefault="003E6A3F">
      <w:pPr>
        <w:adjustRightInd w:val="0"/>
        <w:snapToGrid w:val="0"/>
        <w:rPr>
          <w:rFonts w:ascii="彩虹粗仿宋" w:eastAsia="彩虹粗仿宋" w:hAnsi="宋体" w:cs="Arial"/>
          <w:color w:val="000000" w:themeColor="text1"/>
          <w:sz w:val="24"/>
        </w:rPr>
      </w:pPr>
    </w:p>
    <w:p w14:paraId="49EA2859"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371AAE35" w14:textId="5184FA18" w:rsidR="003E6A3F" w:rsidRPr="005F0ABA" w:rsidRDefault="006E6B76">
      <w:pPr>
        <w:adjustRightInd w:val="0"/>
        <w:snapToGrid w:val="0"/>
        <w:jc w:val="center"/>
        <w:rPr>
          <w:rFonts w:ascii="宋体" w:hAnsi="宋体" w:cs="Arial"/>
          <w:b/>
          <w:bCs/>
          <w:color w:val="000000" w:themeColor="text1"/>
          <w:sz w:val="36"/>
          <w:szCs w:val="36"/>
        </w:rPr>
      </w:pPr>
      <w:r w:rsidRPr="005F0ABA">
        <w:rPr>
          <w:rFonts w:ascii="宋体" w:hAnsi="宋体" w:cs="Arial" w:hint="eastAsia"/>
          <w:b/>
          <w:bCs/>
          <w:color w:val="000000" w:themeColor="text1"/>
          <w:sz w:val="36"/>
          <w:szCs w:val="36"/>
        </w:rPr>
        <w:t>基金管理人：</w:t>
      </w:r>
      <w:proofErr w:type="gramStart"/>
      <w:r w:rsidRPr="005F0ABA">
        <w:rPr>
          <w:rFonts w:ascii="宋体" w:hAnsi="宋体" w:cs="Arial" w:hint="eastAsia"/>
          <w:b/>
          <w:bCs/>
          <w:color w:val="000000" w:themeColor="text1"/>
          <w:sz w:val="36"/>
          <w:szCs w:val="36"/>
        </w:rPr>
        <w:t>浦银基金</w:t>
      </w:r>
      <w:proofErr w:type="gramEnd"/>
      <w:r w:rsidRPr="005F0ABA">
        <w:rPr>
          <w:rFonts w:ascii="宋体" w:hAnsi="宋体" w:cs="Arial" w:hint="eastAsia"/>
          <w:b/>
          <w:bCs/>
          <w:color w:val="000000" w:themeColor="text1"/>
          <w:sz w:val="36"/>
          <w:szCs w:val="36"/>
        </w:rPr>
        <w:t>管理有限公司</w:t>
      </w:r>
    </w:p>
    <w:p w14:paraId="1599F2DC" w14:textId="77777777" w:rsidR="003E6A3F" w:rsidRPr="005F0ABA" w:rsidRDefault="006E6B76">
      <w:pPr>
        <w:adjustRightInd w:val="0"/>
        <w:snapToGrid w:val="0"/>
        <w:jc w:val="center"/>
        <w:rPr>
          <w:rFonts w:ascii="宋体" w:hAnsi="宋体" w:cs="Arial"/>
          <w:b/>
          <w:bCs/>
          <w:color w:val="000000" w:themeColor="text1"/>
          <w:sz w:val="36"/>
          <w:szCs w:val="36"/>
        </w:rPr>
      </w:pPr>
      <w:r w:rsidRPr="005F0ABA">
        <w:rPr>
          <w:rFonts w:ascii="宋体" w:hAnsi="宋体" w:cs="Arial" w:hint="eastAsia"/>
          <w:b/>
          <w:bCs/>
          <w:color w:val="000000" w:themeColor="text1"/>
          <w:sz w:val="36"/>
          <w:szCs w:val="36"/>
        </w:rPr>
        <w:t>基金托管人：中国建设银行股份有限公司</w:t>
      </w:r>
    </w:p>
    <w:p w14:paraId="4E069FF6"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6F33897D"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272E7A8C" w14:textId="77777777" w:rsidR="003E6A3F" w:rsidRPr="005F0ABA" w:rsidRDefault="003E6A3F">
      <w:pPr>
        <w:adjustRightInd w:val="0"/>
        <w:snapToGrid w:val="0"/>
        <w:jc w:val="center"/>
        <w:rPr>
          <w:rFonts w:ascii="彩虹粗仿宋" w:eastAsia="彩虹粗仿宋" w:hAnsi="宋体" w:cs="Arial"/>
          <w:color w:val="000000" w:themeColor="text1"/>
          <w:sz w:val="24"/>
        </w:rPr>
      </w:pPr>
    </w:p>
    <w:p w14:paraId="3D200355" w14:textId="757B3A4A" w:rsidR="003E6A3F" w:rsidRPr="005F0ABA" w:rsidRDefault="006E6B76">
      <w:pPr>
        <w:adjustRightInd w:val="0"/>
        <w:snapToGrid w:val="0"/>
        <w:rPr>
          <w:rFonts w:ascii="宋体" w:hAnsi="宋体" w:cs="Arial"/>
          <w:b/>
          <w:color w:val="000000" w:themeColor="text1"/>
          <w:sz w:val="32"/>
        </w:rPr>
      </w:pPr>
      <w:r w:rsidRPr="005F0ABA">
        <w:rPr>
          <w:rFonts w:ascii="宋体" w:hAnsi="宋体" w:cs="Arial"/>
          <w:color w:val="000000" w:themeColor="text1"/>
          <w:sz w:val="24"/>
        </w:rPr>
        <w:t xml:space="preserve">                            </w:t>
      </w:r>
      <w:r w:rsidRPr="005F0ABA">
        <w:rPr>
          <w:rFonts w:ascii="宋体" w:hAnsi="宋体" w:cs="Arial" w:hint="eastAsia"/>
          <w:b/>
          <w:color w:val="000000" w:themeColor="text1"/>
          <w:sz w:val="32"/>
        </w:rPr>
        <w:t>二零二</w:t>
      </w:r>
      <w:r w:rsidR="007F4624" w:rsidRPr="005F0ABA">
        <w:rPr>
          <w:rFonts w:ascii="宋体" w:hAnsi="宋体" w:cs="Arial" w:hint="eastAsia"/>
          <w:b/>
          <w:color w:val="000000" w:themeColor="text1"/>
          <w:sz w:val="32"/>
        </w:rPr>
        <w:t>六</w:t>
      </w:r>
      <w:r w:rsidRPr="005F0ABA">
        <w:rPr>
          <w:rFonts w:ascii="宋体" w:hAnsi="宋体" w:cs="Arial" w:hint="eastAsia"/>
          <w:b/>
          <w:color w:val="000000" w:themeColor="text1"/>
          <w:sz w:val="32"/>
        </w:rPr>
        <w:t>年</w:t>
      </w:r>
      <w:r w:rsidR="00454493">
        <w:rPr>
          <w:rFonts w:ascii="宋体" w:hAnsi="宋体" w:cs="Arial" w:hint="eastAsia"/>
          <w:b/>
          <w:color w:val="000000" w:themeColor="text1"/>
          <w:sz w:val="32"/>
        </w:rPr>
        <w:t>八</w:t>
      </w:r>
      <w:r w:rsidRPr="005F0ABA">
        <w:rPr>
          <w:rFonts w:ascii="宋体" w:hAnsi="宋体" w:cs="Arial" w:hint="eastAsia"/>
          <w:b/>
          <w:color w:val="000000" w:themeColor="text1"/>
          <w:sz w:val="32"/>
        </w:rPr>
        <w:t>月</w:t>
      </w:r>
    </w:p>
    <w:p w14:paraId="102CAFBF" w14:textId="77777777" w:rsidR="003E6A3F" w:rsidRPr="005F0ABA" w:rsidRDefault="003E6A3F">
      <w:pPr>
        <w:adjustRightInd w:val="0"/>
        <w:snapToGrid w:val="0"/>
        <w:rPr>
          <w:rFonts w:ascii="彩虹粗仿宋" w:eastAsia="彩虹粗仿宋" w:hAnsi="宋体" w:cs="Arial"/>
          <w:bCs/>
          <w:color w:val="000000" w:themeColor="text1"/>
          <w:sz w:val="24"/>
        </w:rPr>
      </w:pPr>
    </w:p>
    <w:p w14:paraId="1D5EDA07" w14:textId="77777777" w:rsidR="003E6A3F" w:rsidRPr="005F0ABA" w:rsidRDefault="003E6A3F">
      <w:pPr>
        <w:adjustRightInd w:val="0"/>
        <w:snapToGrid w:val="0"/>
        <w:rPr>
          <w:rFonts w:ascii="彩虹粗仿宋" w:eastAsia="彩虹粗仿宋" w:hAnsi="宋体" w:cs="Arial"/>
          <w:bCs/>
          <w:color w:val="000000" w:themeColor="text1"/>
          <w:sz w:val="24"/>
        </w:rPr>
      </w:pPr>
    </w:p>
    <w:p w14:paraId="5ADEF564" w14:textId="77777777" w:rsidR="003E6A3F" w:rsidRPr="005F0ABA" w:rsidRDefault="003E6A3F">
      <w:pPr>
        <w:adjustRightInd w:val="0"/>
        <w:snapToGrid w:val="0"/>
        <w:rPr>
          <w:rFonts w:ascii="彩虹粗仿宋" w:eastAsia="彩虹粗仿宋" w:hAnsi="宋体" w:cs="Arial"/>
          <w:bCs/>
          <w:color w:val="000000" w:themeColor="text1"/>
          <w:sz w:val="24"/>
        </w:rPr>
      </w:pPr>
    </w:p>
    <w:p w14:paraId="3678D5AB" w14:textId="77777777" w:rsidR="003E6A3F" w:rsidRPr="005F0ABA" w:rsidRDefault="006E6B76">
      <w:pPr>
        <w:jc w:val="center"/>
        <w:rPr>
          <w:rFonts w:ascii="宋体" w:hAnsi="宋体"/>
          <w:b/>
          <w:bCs/>
          <w:color w:val="000000" w:themeColor="text1"/>
          <w:sz w:val="30"/>
        </w:rPr>
      </w:pPr>
      <w:r w:rsidRPr="005F0ABA">
        <w:rPr>
          <w:rFonts w:ascii="宋体" w:hAnsi="宋体" w:hint="eastAsia"/>
          <w:b/>
          <w:bCs/>
          <w:color w:val="000000" w:themeColor="text1"/>
          <w:sz w:val="30"/>
        </w:rPr>
        <w:t>目</w:t>
      </w:r>
      <w:r w:rsidRPr="005F0ABA">
        <w:rPr>
          <w:rFonts w:ascii="宋体" w:hAnsi="宋体"/>
          <w:b/>
          <w:bCs/>
          <w:color w:val="000000" w:themeColor="text1"/>
          <w:sz w:val="30"/>
        </w:rPr>
        <w:t xml:space="preserve">    </w:t>
      </w:r>
      <w:r w:rsidRPr="005F0ABA">
        <w:rPr>
          <w:rFonts w:ascii="宋体" w:hAnsi="宋体" w:hint="eastAsia"/>
          <w:b/>
          <w:bCs/>
          <w:color w:val="000000" w:themeColor="text1"/>
          <w:sz w:val="30"/>
        </w:rPr>
        <w:t>录</w:t>
      </w:r>
    </w:p>
    <w:p w14:paraId="1424F6D3" w14:textId="328AE092" w:rsidR="003E6A3F" w:rsidRPr="005F0ABA" w:rsidRDefault="006E6B76">
      <w:pPr>
        <w:pStyle w:val="28"/>
        <w:rPr>
          <w:rFonts w:ascii="宋体" w:hAnsi="宋体"/>
          <w:noProof/>
          <w:color w:val="000000" w:themeColor="text1"/>
          <w:sz w:val="24"/>
        </w:rPr>
      </w:pPr>
      <w:r w:rsidRPr="005F0ABA">
        <w:rPr>
          <w:rFonts w:ascii="宋体" w:hAnsi="宋体" w:hint="eastAsia"/>
          <w:color w:val="000000" w:themeColor="text1"/>
          <w:sz w:val="24"/>
        </w:rPr>
        <w:fldChar w:fldCharType="begin"/>
      </w:r>
      <w:r w:rsidRPr="005F0ABA">
        <w:rPr>
          <w:rFonts w:ascii="宋体" w:hAnsi="宋体"/>
          <w:color w:val="000000" w:themeColor="text1"/>
          <w:sz w:val="24"/>
        </w:rPr>
        <w:instrText xml:space="preserve"> TOC \o "1-2" \h \z </w:instrText>
      </w:r>
      <w:r w:rsidRPr="005F0ABA">
        <w:rPr>
          <w:rFonts w:ascii="宋体" w:hAnsi="宋体" w:hint="eastAsia"/>
          <w:color w:val="000000" w:themeColor="text1"/>
          <w:sz w:val="24"/>
        </w:rPr>
        <w:fldChar w:fldCharType="separate"/>
      </w:r>
      <w:hyperlink r:id="rId7" w:anchor="_Toc124325885" w:history="1">
        <w:r w:rsidRPr="005F0ABA">
          <w:rPr>
            <w:rStyle w:val="af0"/>
            <w:rFonts w:ascii="宋体" w:hAnsi="宋体" w:hint="eastAsia"/>
            <w:noProof/>
            <w:color w:val="000000" w:themeColor="text1"/>
            <w:sz w:val="24"/>
          </w:rPr>
          <w:t>一、基金托管协议当事人</w:t>
        </w:r>
        <w:r w:rsidRPr="005F0ABA">
          <w:rPr>
            <w:rStyle w:val="af0"/>
            <w:rFonts w:ascii="宋体" w:hAnsi="宋体"/>
            <w:noProof/>
            <w:color w:val="000000" w:themeColor="text1"/>
            <w:sz w:val="24"/>
          </w:rPr>
          <w:tab/>
        </w:r>
        <w:r w:rsidRPr="005F0ABA">
          <w:rPr>
            <w:rStyle w:val="af0"/>
            <w:rFonts w:ascii="宋体" w:hAnsi="宋体" w:hint="eastAsia"/>
            <w:noProof/>
            <w:color w:val="000000" w:themeColor="text1"/>
            <w:sz w:val="24"/>
          </w:rPr>
          <w:fldChar w:fldCharType="begin"/>
        </w:r>
        <w:r w:rsidRPr="005F0ABA">
          <w:rPr>
            <w:rStyle w:val="af0"/>
            <w:rFonts w:ascii="宋体" w:hAnsi="宋体"/>
            <w:noProof/>
            <w:color w:val="000000" w:themeColor="text1"/>
            <w:sz w:val="24"/>
          </w:rPr>
          <w:instrText xml:space="preserve"> PAGEREF _Toc124325885 \h </w:instrText>
        </w:r>
        <w:r w:rsidRPr="005F0ABA">
          <w:rPr>
            <w:rStyle w:val="af0"/>
            <w:rFonts w:ascii="宋体" w:hAnsi="宋体" w:hint="eastAsia"/>
            <w:noProof/>
            <w:color w:val="000000" w:themeColor="text1"/>
            <w:sz w:val="24"/>
          </w:rPr>
        </w:r>
        <w:r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4</w:t>
        </w:r>
        <w:r w:rsidRPr="005F0ABA">
          <w:rPr>
            <w:rStyle w:val="af0"/>
            <w:rFonts w:ascii="宋体" w:hAnsi="宋体" w:hint="eastAsia"/>
            <w:noProof/>
            <w:color w:val="000000" w:themeColor="text1"/>
            <w:sz w:val="24"/>
          </w:rPr>
          <w:fldChar w:fldCharType="end"/>
        </w:r>
      </w:hyperlink>
    </w:p>
    <w:p w14:paraId="691DC362" w14:textId="076EF01B" w:rsidR="003E6A3F" w:rsidRPr="005F0ABA" w:rsidRDefault="00755A48">
      <w:pPr>
        <w:pStyle w:val="28"/>
        <w:rPr>
          <w:rFonts w:ascii="宋体" w:hAnsi="宋体"/>
          <w:noProof/>
          <w:color w:val="000000" w:themeColor="text1"/>
          <w:sz w:val="24"/>
        </w:rPr>
      </w:pPr>
      <w:hyperlink r:id="rId8" w:anchor="_Toc124325886" w:history="1">
        <w:r w:rsidR="006E6B76" w:rsidRPr="005F0ABA">
          <w:rPr>
            <w:rStyle w:val="af0"/>
            <w:rFonts w:ascii="宋体" w:hAnsi="宋体" w:hint="eastAsia"/>
            <w:noProof/>
            <w:color w:val="000000" w:themeColor="text1"/>
            <w:sz w:val="24"/>
          </w:rPr>
          <w:t>二、基金托管协议的依据、目的和原则</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_Toc124325886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5</w:t>
        </w:r>
        <w:r w:rsidR="006E6B76" w:rsidRPr="005F0ABA">
          <w:rPr>
            <w:rStyle w:val="af0"/>
            <w:rFonts w:ascii="宋体" w:hAnsi="宋体" w:hint="eastAsia"/>
            <w:noProof/>
            <w:color w:val="000000" w:themeColor="text1"/>
            <w:sz w:val="24"/>
          </w:rPr>
          <w:fldChar w:fldCharType="end"/>
        </w:r>
      </w:hyperlink>
    </w:p>
    <w:p w14:paraId="35DD726D" w14:textId="366E6E21" w:rsidR="003E6A3F" w:rsidRPr="005F0ABA" w:rsidRDefault="00755A48">
      <w:pPr>
        <w:pStyle w:val="28"/>
        <w:rPr>
          <w:rFonts w:ascii="宋体" w:hAnsi="宋体"/>
          <w:noProof/>
          <w:color w:val="000000" w:themeColor="text1"/>
          <w:sz w:val="24"/>
        </w:rPr>
      </w:pPr>
      <w:hyperlink r:id="rId9" w:anchor="_Toc124325887" w:history="1">
        <w:r w:rsidR="006E6B76" w:rsidRPr="005F0ABA">
          <w:rPr>
            <w:rStyle w:val="af0"/>
            <w:rFonts w:ascii="宋体" w:hAnsi="宋体" w:hint="eastAsia"/>
            <w:noProof/>
            <w:color w:val="000000" w:themeColor="text1"/>
            <w:sz w:val="24"/>
          </w:rPr>
          <w:t>三、基金托管人对基金管理人的业务监督和核查</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_Toc124325887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6</w:t>
        </w:r>
        <w:r w:rsidR="006E6B76" w:rsidRPr="005F0ABA">
          <w:rPr>
            <w:rStyle w:val="af0"/>
            <w:rFonts w:ascii="宋体" w:hAnsi="宋体" w:hint="eastAsia"/>
            <w:noProof/>
            <w:color w:val="000000" w:themeColor="text1"/>
            <w:sz w:val="24"/>
          </w:rPr>
          <w:fldChar w:fldCharType="end"/>
        </w:r>
      </w:hyperlink>
    </w:p>
    <w:p w14:paraId="0B7B81B0" w14:textId="2368AEF5" w:rsidR="003E6A3F" w:rsidRPr="005F0ABA" w:rsidRDefault="00755A48">
      <w:pPr>
        <w:pStyle w:val="28"/>
        <w:rPr>
          <w:rFonts w:ascii="宋体" w:hAnsi="宋体"/>
          <w:noProof/>
          <w:color w:val="000000" w:themeColor="text1"/>
          <w:sz w:val="24"/>
        </w:rPr>
      </w:pPr>
      <w:hyperlink r:id="rId10" w:anchor="_Toc124325888" w:history="1">
        <w:r w:rsidR="006E6B76" w:rsidRPr="005F0ABA">
          <w:rPr>
            <w:rStyle w:val="af0"/>
            <w:rFonts w:ascii="宋体" w:hAnsi="宋体" w:hint="eastAsia"/>
            <w:noProof/>
            <w:color w:val="000000" w:themeColor="text1"/>
            <w:sz w:val="24"/>
          </w:rPr>
          <w:t>四、基金管理人对基金托管人的业务核查</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_Toc124325888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9</w:t>
        </w:r>
        <w:r w:rsidR="006E6B76" w:rsidRPr="005F0ABA">
          <w:rPr>
            <w:rStyle w:val="af0"/>
            <w:rFonts w:ascii="宋体" w:hAnsi="宋体" w:hint="eastAsia"/>
            <w:noProof/>
            <w:color w:val="000000" w:themeColor="text1"/>
            <w:sz w:val="24"/>
          </w:rPr>
          <w:fldChar w:fldCharType="end"/>
        </w:r>
      </w:hyperlink>
    </w:p>
    <w:p w14:paraId="1C2AF85C" w14:textId="4EF4889D" w:rsidR="003E6A3F" w:rsidRPr="005F0ABA" w:rsidRDefault="00755A48">
      <w:pPr>
        <w:pStyle w:val="28"/>
        <w:rPr>
          <w:rFonts w:ascii="宋体" w:hAnsi="宋体"/>
          <w:noProof/>
          <w:color w:val="000000" w:themeColor="text1"/>
          <w:sz w:val="24"/>
        </w:rPr>
      </w:pPr>
      <w:hyperlink r:id="rId11" w:anchor="_Toc124325889" w:history="1">
        <w:r w:rsidR="006E6B76" w:rsidRPr="005F0ABA">
          <w:rPr>
            <w:rStyle w:val="af0"/>
            <w:rFonts w:ascii="宋体" w:hAnsi="宋体" w:hint="eastAsia"/>
            <w:noProof/>
            <w:color w:val="000000" w:themeColor="text1"/>
            <w:sz w:val="24"/>
          </w:rPr>
          <w:t>五、基金财产的保管</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_Toc124325889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10</w:t>
        </w:r>
        <w:r w:rsidR="006E6B76" w:rsidRPr="005F0ABA">
          <w:rPr>
            <w:rStyle w:val="af0"/>
            <w:rFonts w:ascii="宋体" w:hAnsi="宋体" w:hint="eastAsia"/>
            <w:noProof/>
            <w:color w:val="000000" w:themeColor="text1"/>
            <w:sz w:val="24"/>
          </w:rPr>
          <w:fldChar w:fldCharType="end"/>
        </w:r>
      </w:hyperlink>
    </w:p>
    <w:p w14:paraId="37869679" w14:textId="3D06D0EA" w:rsidR="003E6A3F" w:rsidRPr="005F0ABA" w:rsidRDefault="00755A48">
      <w:pPr>
        <w:pStyle w:val="28"/>
        <w:rPr>
          <w:rFonts w:ascii="宋体" w:hAnsi="宋体"/>
          <w:noProof/>
          <w:color w:val="000000" w:themeColor="text1"/>
          <w:sz w:val="24"/>
        </w:rPr>
      </w:pPr>
      <w:hyperlink r:id="rId12" w:anchor="_Toc124325890" w:history="1">
        <w:r w:rsidR="006E6B76" w:rsidRPr="005F0ABA">
          <w:rPr>
            <w:rStyle w:val="af0"/>
            <w:rFonts w:ascii="宋体" w:hAnsi="宋体" w:hint="eastAsia"/>
            <w:noProof/>
            <w:color w:val="000000" w:themeColor="text1"/>
            <w:sz w:val="24"/>
          </w:rPr>
          <w:t>六、指令的发送、确认及执行</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_Toc124325890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13</w:t>
        </w:r>
        <w:r w:rsidR="006E6B76" w:rsidRPr="005F0ABA">
          <w:rPr>
            <w:rStyle w:val="af0"/>
            <w:rFonts w:ascii="宋体" w:hAnsi="宋体" w:hint="eastAsia"/>
            <w:noProof/>
            <w:color w:val="000000" w:themeColor="text1"/>
            <w:sz w:val="24"/>
          </w:rPr>
          <w:fldChar w:fldCharType="end"/>
        </w:r>
      </w:hyperlink>
    </w:p>
    <w:p w14:paraId="41476A83" w14:textId="20E465FC" w:rsidR="003E6A3F" w:rsidRPr="005F0ABA" w:rsidRDefault="00755A48">
      <w:pPr>
        <w:pStyle w:val="28"/>
        <w:rPr>
          <w:rFonts w:ascii="宋体" w:hAnsi="宋体"/>
          <w:noProof/>
          <w:color w:val="000000" w:themeColor="text1"/>
          <w:sz w:val="24"/>
        </w:rPr>
      </w:pPr>
      <w:hyperlink r:id="rId13" w:anchor="_Toc124325891" w:history="1">
        <w:r w:rsidR="006E6B76" w:rsidRPr="005F0ABA">
          <w:rPr>
            <w:rStyle w:val="af0"/>
            <w:rFonts w:ascii="宋体" w:hAnsi="宋体" w:hint="eastAsia"/>
            <w:noProof/>
            <w:color w:val="000000" w:themeColor="text1"/>
            <w:sz w:val="24"/>
          </w:rPr>
          <w:t>七、交易及清算交收安排</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_Toc124325891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15</w:t>
        </w:r>
        <w:r w:rsidR="006E6B76" w:rsidRPr="005F0ABA">
          <w:rPr>
            <w:rStyle w:val="af0"/>
            <w:rFonts w:ascii="宋体" w:hAnsi="宋体" w:hint="eastAsia"/>
            <w:noProof/>
            <w:color w:val="000000" w:themeColor="text1"/>
            <w:sz w:val="24"/>
          </w:rPr>
          <w:fldChar w:fldCharType="end"/>
        </w:r>
      </w:hyperlink>
    </w:p>
    <w:p w14:paraId="6BCDF329" w14:textId="54CAC960" w:rsidR="003E6A3F" w:rsidRPr="005F0ABA" w:rsidRDefault="00755A48">
      <w:pPr>
        <w:pStyle w:val="28"/>
        <w:rPr>
          <w:rFonts w:ascii="宋体" w:hAnsi="宋体"/>
          <w:noProof/>
          <w:color w:val="000000" w:themeColor="text1"/>
          <w:sz w:val="24"/>
        </w:rPr>
      </w:pPr>
      <w:hyperlink r:id="rId14" w:anchor="_Toc124325892" w:history="1">
        <w:r w:rsidR="006E6B76" w:rsidRPr="005F0ABA">
          <w:rPr>
            <w:rStyle w:val="af0"/>
            <w:rFonts w:ascii="宋体" w:hAnsi="宋体" w:hint="eastAsia"/>
            <w:noProof/>
            <w:color w:val="000000" w:themeColor="text1"/>
            <w:sz w:val="24"/>
          </w:rPr>
          <w:t>八、基金资产净值计算和会计核算</w:t>
        </w:r>
        <w:r w:rsidR="006E6B76" w:rsidRPr="005F0ABA">
          <w:rPr>
            <w:rStyle w:val="af0"/>
            <w:rFonts w:ascii="宋体" w:hAnsi="宋体"/>
            <w:noProof/>
            <w:color w:val="000000" w:themeColor="text1"/>
            <w:sz w:val="24"/>
          </w:rPr>
          <w:tab/>
        </w:r>
        <w:bookmarkStart w:id="0" w:name="_GoBack"/>
        <w:bookmarkEnd w:id="0"/>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_Toc124325892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21</w:t>
        </w:r>
        <w:r w:rsidR="006E6B76" w:rsidRPr="005F0ABA">
          <w:rPr>
            <w:rStyle w:val="af0"/>
            <w:rFonts w:ascii="宋体" w:hAnsi="宋体" w:hint="eastAsia"/>
            <w:noProof/>
            <w:color w:val="000000" w:themeColor="text1"/>
            <w:sz w:val="24"/>
          </w:rPr>
          <w:fldChar w:fldCharType="end"/>
        </w:r>
      </w:hyperlink>
    </w:p>
    <w:p w14:paraId="56F66859" w14:textId="7F14006B" w:rsidR="003E6A3F" w:rsidRPr="005F0ABA" w:rsidRDefault="00755A48">
      <w:pPr>
        <w:pStyle w:val="28"/>
        <w:rPr>
          <w:rFonts w:ascii="宋体" w:hAnsi="宋体"/>
          <w:noProof/>
          <w:color w:val="000000" w:themeColor="text1"/>
          <w:sz w:val="24"/>
        </w:rPr>
      </w:pPr>
      <w:hyperlink r:id="rId15" w:anchor="_Toc124325893" w:history="1">
        <w:r w:rsidR="006E6B76" w:rsidRPr="005F0ABA">
          <w:rPr>
            <w:rStyle w:val="af0"/>
            <w:rFonts w:ascii="宋体" w:hAnsi="宋体" w:hint="eastAsia"/>
            <w:noProof/>
            <w:color w:val="000000" w:themeColor="text1"/>
            <w:sz w:val="24"/>
          </w:rPr>
          <w:t>九、基金收益分配</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_Toc124325893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25</w:t>
        </w:r>
        <w:r w:rsidR="006E6B76" w:rsidRPr="005F0ABA">
          <w:rPr>
            <w:rStyle w:val="af0"/>
            <w:rFonts w:ascii="宋体" w:hAnsi="宋体" w:hint="eastAsia"/>
            <w:noProof/>
            <w:color w:val="000000" w:themeColor="text1"/>
            <w:sz w:val="24"/>
          </w:rPr>
          <w:fldChar w:fldCharType="end"/>
        </w:r>
      </w:hyperlink>
    </w:p>
    <w:p w14:paraId="460E134C" w14:textId="08DFB568" w:rsidR="003E6A3F" w:rsidRPr="005F0ABA" w:rsidRDefault="00755A48">
      <w:pPr>
        <w:pStyle w:val="28"/>
        <w:rPr>
          <w:rFonts w:ascii="宋体" w:hAnsi="宋体"/>
          <w:noProof/>
          <w:color w:val="000000" w:themeColor="text1"/>
          <w:sz w:val="24"/>
        </w:rPr>
      </w:pPr>
      <w:hyperlink r:id="rId16" w:anchor="_Toc124325894" w:history="1">
        <w:r w:rsidR="006E6B76" w:rsidRPr="005F0ABA">
          <w:rPr>
            <w:rStyle w:val="af0"/>
            <w:rFonts w:ascii="宋体" w:hAnsi="宋体" w:hint="eastAsia"/>
            <w:noProof/>
            <w:color w:val="000000" w:themeColor="text1"/>
            <w:sz w:val="24"/>
          </w:rPr>
          <w:t>十、基金信息披露</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_Toc124325894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27</w:t>
        </w:r>
        <w:r w:rsidR="006E6B76" w:rsidRPr="005F0ABA">
          <w:rPr>
            <w:rStyle w:val="af0"/>
            <w:rFonts w:ascii="宋体" w:hAnsi="宋体" w:hint="eastAsia"/>
            <w:noProof/>
            <w:color w:val="000000" w:themeColor="text1"/>
            <w:sz w:val="24"/>
          </w:rPr>
          <w:fldChar w:fldCharType="end"/>
        </w:r>
      </w:hyperlink>
    </w:p>
    <w:p w14:paraId="250712D8" w14:textId="3D60F2D2" w:rsidR="003E6A3F" w:rsidRPr="005F0ABA" w:rsidRDefault="00755A48">
      <w:pPr>
        <w:pStyle w:val="28"/>
        <w:rPr>
          <w:rFonts w:ascii="宋体" w:hAnsi="宋体"/>
          <w:noProof/>
          <w:color w:val="000000" w:themeColor="text1"/>
          <w:sz w:val="24"/>
        </w:rPr>
      </w:pPr>
      <w:hyperlink r:id="rId17" w:anchor="_Toc124325895" w:history="1">
        <w:r w:rsidR="006E6B76" w:rsidRPr="005F0ABA">
          <w:rPr>
            <w:rStyle w:val="af0"/>
            <w:rFonts w:ascii="宋体" w:hAnsi="宋体" w:hint="eastAsia"/>
            <w:noProof/>
            <w:color w:val="000000" w:themeColor="text1"/>
            <w:sz w:val="24"/>
          </w:rPr>
          <w:t>十一、基金费用</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_Toc124325895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28</w:t>
        </w:r>
        <w:r w:rsidR="006E6B76" w:rsidRPr="005F0ABA">
          <w:rPr>
            <w:rStyle w:val="af0"/>
            <w:rFonts w:ascii="宋体" w:hAnsi="宋体" w:hint="eastAsia"/>
            <w:noProof/>
            <w:color w:val="000000" w:themeColor="text1"/>
            <w:sz w:val="24"/>
          </w:rPr>
          <w:fldChar w:fldCharType="end"/>
        </w:r>
      </w:hyperlink>
    </w:p>
    <w:p w14:paraId="1B6A9FD8" w14:textId="1DDDC76B" w:rsidR="003E6A3F" w:rsidRPr="005F0ABA" w:rsidRDefault="00755A48">
      <w:pPr>
        <w:pStyle w:val="28"/>
        <w:rPr>
          <w:rFonts w:ascii="宋体" w:hAnsi="宋体"/>
          <w:noProof/>
          <w:color w:val="000000" w:themeColor="text1"/>
          <w:sz w:val="24"/>
        </w:rPr>
      </w:pPr>
      <w:hyperlink r:id="rId18" w:anchor="_Toc124325896" w:history="1">
        <w:r w:rsidR="006E6B76" w:rsidRPr="005F0ABA">
          <w:rPr>
            <w:rStyle w:val="af0"/>
            <w:rFonts w:ascii="宋体" w:hAnsi="宋体" w:hint="eastAsia"/>
            <w:noProof/>
            <w:color w:val="000000" w:themeColor="text1"/>
            <w:sz w:val="24"/>
          </w:rPr>
          <w:t>十二、基金份额持有人名册的保管</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_Toc124325896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31</w:t>
        </w:r>
        <w:r w:rsidR="006E6B76" w:rsidRPr="005F0ABA">
          <w:rPr>
            <w:rStyle w:val="af0"/>
            <w:rFonts w:ascii="宋体" w:hAnsi="宋体" w:hint="eastAsia"/>
            <w:noProof/>
            <w:color w:val="000000" w:themeColor="text1"/>
            <w:sz w:val="24"/>
          </w:rPr>
          <w:fldChar w:fldCharType="end"/>
        </w:r>
      </w:hyperlink>
    </w:p>
    <w:p w14:paraId="6482DDDC" w14:textId="4B503622" w:rsidR="003E6A3F" w:rsidRPr="005F0ABA" w:rsidRDefault="00755A48">
      <w:pPr>
        <w:pStyle w:val="28"/>
        <w:rPr>
          <w:rFonts w:ascii="宋体" w:hAnsi="宋体"/>
          <w:noProof/>
          <w:color w:val="000000" w:themeColor="text1"/>
          <w:sz w:val="24"/>
        </w:rPr>
      </w:pPr>
      <w:hyperlink r:id="rId19" w:anchor="_Toc124325897" w:history="1">
        <w:r w:rsidR="006E6B76" w:rsidRPr="005F0ABA">
          <w:rPr>
            <w:rStyle w:val="af0"/>
            <w:rFonts w:ascii="宋体" w:hAnsi="宋体" w:hint="eastAsia"/>
            <w:noProof/>
            <w:color w:val="000000" w:themeColor="text1"/>
            <w:sz w:val="24"/>
          </w:rPr>
          <w:t>十三、基金有关文件档案的保存</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_Toc124325897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31</w:t>
        </w:r>
        <w:r w:rsidR="006E6B76" w:rsidRPr="005F0ABA">
          <w:rPr>
            <w:rStyle w:val="af0"/>
            <w:rFonts w:ascii="宋体" w:hAnsi="宋体" w:hint="eastAsia"/>
            <w:noProof/>
            <w:color w:val="000000" w:themeColor="text1"/>
            <w:sz w:val="24"/>
          </w:rPr>
          <w:fldChar w:fldCharType="end"/>
        </w:r>
      </w:hyperlink>
    </w:p>
    <w:p w14:paraId="0B862A33" w14:textId="2FDCB526" w:rsidR="003E6A3F" w:rsidRPr="005F0ABA" w:rsidRDefault="00755A48">
      <w:pPr>
        <w:pStyle w:val="28"/>
        <w:rPr>
          <w:rFonts w:ascii="宋体" w:hAnsi="宋体"/>
          <w:noProof/>
          <w:color w:val="000000" w:themeColor="text1"/>
          <w:sz w:val="24"/>
        </w:rPr>
      </w:pPr>
      <w:hyperlink r:id="rId20" w:anchor="_Toc124325898" w:history="1">
        <w:r w:rsidR="006E6B76" w:rsidRPr="005F0ABA">
          <w:rPr>
            <w:rStyle w:val="af0"/>
            <w:rFonts w:ascii="宋体" w:hAnsi="宋体" w:hint="eastAsia"/>
            <w:noProof/>
            <w:color w:val="000000" w:themeColor="text1"/>
            <w:sz w:val="24"/>
          </w:rPr>
          <w:t>十四、基金管理人和基金托管人的更换</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_Toc124325898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32</w:t>
        </w:r>
        <w:r w:rsidR="006E6B76" w:rsidRPr="005F0ABA">
          <w:rPr>
            <w:rStyle w:val="af0"/>
            <w:rFonts w:ascii="宋体" w:hAnsi="宋体" w:hint="eastAsia"/>
            <w:noProof/>
            <w:color w:val="000000" w:themeColor="text1"/>
            <w:sz w:val="24"/>
          </w:rPr>
          <w:fldChar w:fldCharType="end"/>
        </w:r>
      </w:hyperlink>
    </w:p>
    <w:p w14:paraId="350DA1DF" w14:textId="4B1C3C4D" w:rsidR="003E6A3F" w:rsidRPr="005F0ABA" w:rsidRDefault="00755A48">
      <w:pPr>
        <w:pStyle w:val="28"/>
        <w:rPr>
          <w:rFonts w:ascii="宋体" w:hAnsi="宋体"/>
          <w:noProof/>
          <w:color w:val="000000" w:themeColor="text1"/>
          <w:sz w:val="24"/>
        </w:rPr>
      </w:pPr>
      <w:hyperlink r:id="rId21" w:anchor="_Toc124325899" w:history="1">
        <w:r w:rsidR="006E6B76" w:rsidRPr="005F0ABA">
          <w:rPr>
            <w:rStyle w:val="af0"/>
            <w:rFonts w:ascii="宋体" w:hAnsi="宋体" w:hint="eastAsia"/>
            <w:noProof/>
            <w:color w:val="000000" w:themeColor="text1"/>
            <w:sz w:val="24"/>
          </w:rPr>
          <w:t>十五、禁止行为</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_Toc124325899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34</w:t>
        </w:r>
        <w:r w:rsidR="006E6B76" w:rsidRPr="005F0ABA">
          <w:rPr>
            <w:rStyle w:val="af0"/>
            <w:rFonts w:ascii="宋体" w:hAnsi="宋体" w:hint="eastAsia"/>
            <w:noProof/>
            <w:color w:val="000000" w:themeColor="text1"/>
            <w:sz w:val="24"/>
          </w:rPr>
          <w:fldChar w:fldCharType="end"/>
        </w:r>
      </w:hyperlink>
    </w:p>
    <w:p w14:paraId="6707BC74" w14:textId="20A5FE82" w:rsidR="003E6A3F" w:rsidRPr="005F0ABA" w:rsidRDefault="00755A48">
      <w:pPr>
        <w:pStyle w:val="28"/>
        <w:rPr>
          <w:rFonts w:ascii="宋体" w:hAnsi="宋体"/>
          <w:noProof/>
          <w:color w:val="000000" w:themeColor="text1"/>
          <w:sz w:val="24"/>
        </w:rPr>
      </w:pPr>
      <w:hyperlink r:id="rId22" w:anchor="_Toc124325900" w:history="1">
        <w:r w:rsidR="006E6B76" w:rsidRPr="005F0ABA">
          <w:rPr>
            <w:rStyle w:val="af0"/>
            <w:rFonts w:ascii="宋体" w:hAnsi="宋体" w:hint="eastAsia"/>
            <w:noProof/>
            <w:color w:val="000000" w:themeColor="text1"/>
            <w:sz w:val="24"/>
          </w:rPr>
          <w:t>十六、托管协议的变更、终止与基金财产的清算</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_Toc124325900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35</w:t>
        </w:r>
        <w:r w:rsidR="006E6B76" w:rsidRPr="005F0ABA">
          <w:rPr>
            <w:rStyle w:val="af0"/>
            <w:rFonts w:ascii="宋体" w:hAnsi="宋体" w:hint="eastAsia"/>
            <w:noProof/>
            <w:color w:val="000000" w:themeColor="text1"/>
            <w:sz w:val="24"/>
          </w:rPr>
          <w:fldChar w:fldCharType="end"/>
        </w:r>
      </w:hyperlink>
    </w:p>
    <w:p w14:paraId="2ED5A32E" w14:textId="503A01CF" w:rsidR="003E6A3F" w:rsidRPr="005F0ABA" w:rsidRDefault="00755A48">
      <w:pPr>
        <w:pStyle w:val="28"/>
        <w:rPr>
          <w:rFonts w:ascii="宋体" w:hAnsi="宋体"/>
          <w:noProof/>
          <w:color w:val="000000" w:themeColor="text1"/>
          <w:sz w:val="24"/>
        </w:rPr>
      </w:pPr>
      <w:hyperlink r:id="rId23" w:anchor="_Toc124325901" w:history="1">
        <w:r w:rsidR="006E6B76" w:rsidRPr="005F0ABA">
          <w:rPr>
            <w:rStyle w:val="af0"/>
            <w:rFonts w:ascii="宋体" w:hAnsi="宋体" w:hint="eastAsia"/>
            <w:noProof/>
            <w:color w:val="000000" w:themeColor="text1"/>
            <w:sz w:val="24"/>
          </w:rPr>
          <w:t>十七、违约责任</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_Toc124325901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37</w:t>
        </w:r>
        <w:r w:rsidR="006E6B76" w:rsidRPr="005F0ABA">
          <w:rPr>
            <w:rStyle w:val="af0"/>
            <w:rFonts w:ascii="宋体" w:hAnsi="宋体" w:hint="eastAsia"/>
            <w:noProof/>
            <w:color w:val="000000" w:themeColor="text1"/>
            <w:sz w:val="24"/>
          </w:rPr>
          <w:fldChar w:fldCharType="end"/>
        </w:r>
      </w:hyperlink>
    </w:p>
    <w:p w14:paraId="54E1EAE9" w14:textId="53D5B58D" w:rsidR="003E6A3F" w:rsidRPr="005F0ABA" w:rsidRDefault="00755A48">
      <w:pPr>
        <w:pStyle w:val="28"/>
        <w:rPr>
          <w:rFonts w:ascii="宋体" w:hAnsi="宋体"/>
          <w:noProof/>
          <w:color w:val="000000" w:themeColor="text1"/>
          <w:sz w:val="24"/>
        </w:rPr>
      </w:pPr>
      <w:hyperlink r:id="rId24" w:anchor="_Toc124325902" w:history="1">
        <w:r w:rsidR="006E6B76" w:rsidRPr="005F0ABA">
          <w:rPr>
            <w:rStyle w:val="af0"/>
            <w:rFonts w:ascii="宋体" w:hAnsi="宋体" w:hint="eastAsia"/>
            <w:noProof/>
            <w:color w:val="000000" w:themeColor="text1"/>
            <w:sz w:val="24"/>
          </w:rPr>
          <w:t>十八、争议解决方式</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_Toc124325902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38</w:t>
        </w:r>
        <w:r w:rsidR="006E6B76" w:rsidRPr="005F0ABA">
          <w:rPr>
            <w:rStyle w:val="af0"/>
            <w:rFonts w:ascii="宋体" w:hAnsi="宋体" w:hint="eastAsia"/>
            <w:noProof/>
            <w:color w:val="000000" w:themeColor="text1"/>
            <w:sz w:val="24"/>
          </w:rPr>
          <w:fldChar w:fldCharType="end"/>
        </w:r>
      </w:hyperlink>
    </w:p>
    <w:p w14:paraId="79FDC641" w14:textId="02DBBE75" w:rsidR="003E6A3F" w:rsidRPr="005F0ABA" w:rsidRDefault="00755A48">
      <w:pPr>
        <w:pStyle w:val="28"/>
        <w:rPr>
          <w:rFonts w:ascii="宋体" w:hAnsi="宋体"/>
          <w:noProof/>
          <w:color w:val="000000" w:themeColor="text1"/>
          <w:sz w:val="24"/>
        </w:rPr>
      </w:pPr>
      <w:hyperlink r:id="rId25" w:anchor="_Toc124325903" w:history="1">
        <w:r w:rsidR="006E6B76" w:rsidRPr="005F0ABA">
          <w:rPr>
            <w:rStyle w:val="af0"/>
            <w:rFonts w:ascii="宋体" w:hAnsi="宋体" w:hint="eastAsia"/>
            <w:noProof/>
            <w:color w:val="000000" w:themeColor="text1"/>
            <w:sz w:val="24"/>
          </w:rPr>
          <w:t>十九、托管协议的效力</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_Toc124325903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38</w:t>
        </w:r>
        <w:r w:rsidR="006E6B76" w:rsidRPr="005F0ABA">
          <w:rPr>
            <w:rStyle w:val="af0"/>
            <w:rFonts w:ascii="宋体" w:hAnsi="宋体" w:hint="eastAsia"/>
            <w:noProof/>
            <w:color w:val="000000" w:themeColor="text1"/>
            <w:sz w:val="24"/>
          </w:rPr>
          <w:fldChar w:fldCharType="end"/>
        </w:r>
      </w:hyperlink>
    </w:p>
    <w:p w14:paraId="17ABB51C" w14:textId="0C9840FB" w:rsidR="003E6A3F" w:rsidRPr="005F0ABA" w:rsidRDefault="00755A48">
      <w:pPr>
        <w:pStyle w:val="28"/>
        <w:rPr>
          <w:rFonts w:ascii="宋体" w:hAnsi="宋体"/>
          <w:noProof/>
          <w:color w:val="000000" w:themeColor="text1"/>
          <w:sz w:val="24"/>
        </w:rPr>
      </w:pPr>
      <w:hyperlink r:id="rId26" w:anchor="_Toc124325904" w:history="1">
        <w:r w:rsidR="006E6B76" w:rsidRPr="005F0ABA">
          <w:rPr>
            <w:rStyle w:val="af0"/>
            <w:rFonts w:ascii="宋体" w:hAnsi="宋体" w:hint="eastAsia"/>
            <w:noProof/>
            <w:color w:val="000000" w:themeColor="text1"/>
            <w:sz w:val="24"/>
          </w:rPr>
          <w:t>二十、其他事项</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_Toc124325904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39</w:t>
        </w:r>
        <w:r w:rsidR="006E6B76" w:rsidRPr="005F0ABA">
          <w:rPr>
            <w:rStyle w:val="af0"/>
            <w:rFonts w:ascii="宋体" w:hAnsi="宋体" w:hint="eastAsia"/>
            <w:noProof/>
            <w:color w:val="000000" w:themeColor="text1"/>
            <w:sz w:val="24"/>
          </w:rPr>
          <w:fldChar w:fldCharType="end"/>
        </w:r>
      </w:hyperlink>
    </w:p>
    <w:p w14:paraId="314FB2A3" w14:textId="0C68CCEC" w:rsidR="003E6A3F" w:rsidRPr="005F0ABA" w:rsidRDefault="00755A48">
      <w:pPr>
        <w:pStyle w:val="28"/>
        <w:rPr>
          <w:rFonts w:ascii="宋体" w:hAnsi="宋体"/>
          <w:noProof/>
          <w:color w:val="000000" w:themeColor="text1"/>
          <w:sz w:val="24"/>
        </w:rPr>
      </w:pPr>
      <w:hyperlink r:id="rId27" w:anchor="_Toc124325905" w:history="1">
        <w:r w:rsidR="006E6B76" w:rsidRPr="005F0ABA">
          <w:rPr>
            <w:rStyle w:val="af0"/>
            <w:rFonts w:ascii="宋体" w:hAnsi="宋体" w:hint="eastAsia"/>
            <w:noProof/>
            <w:color w:val="000000" w:themeColor="text1"/>
            <w:sz w:val="24"/>
          </w:rPr>
          <w:t>二十一、托管协议的签订</w:t>
        </w:r>
        <w:r w:rsidR="006E6B76" w:rsidRPr="005F0ABA">
          <w:rPr>
            <w:rStyle w:val="af0"/>
            <w:rFonts w:ascii="宋体" w:hAnsi="宋体"/>
            <w:noProof/>
            <w:color w:val="000000" w:themeColor="text1"/>
            <w:sz w:val="24"/>
          </w:rPr>
          <w:tab/>
        </w:r>
        <w:r w:rsidR="006E6B76" w:rsidRPr="005F0ABA">
          <w:rPr>
            <w:rStyle w:val="af0"/>
            <w:rFonts w:ascii="宋体" w:hAnsi="宋体" w:hint="eastAsia"/>
            <w:noProof/>
            <w:color w:val="000000" w:themeColor="text1"/>
            <w:sz w:val="24"/>
          </w:rPr>
          <w:fldChar w:fldCharType="begin"/>
        </w:r>
        <w:r w:rsidR="006E6B76" w:rsidRPr="005F0ABA">
          <w:rPr>
            <w:rStyle w:val="af0"/>
            <w:rFonts w:ascii="宋体" w:hAnsi="宋体"/>
            <w:noProof/>
            <w:color w:val="000000" w:themeColor="text1"/>
            <w:sz w:val="24"/>
          </w:rPr>
          <w:instrText xml:space="preserve"> PAGEREF _Toc124325905 \h </w:instrText>
        </w:r>
        <w:r w:rsidR="006E6B76" w:rsidRPr="005F0ABA">
          <w:rPr>
            <w:rStyle w:val="af0"/>
            <w:rFonts w:ascii="宋体" w:hAnsi="宋体" w:hint="eastAsia"/>
            <w:noProof/>
            <w:color w:val="000000" w:themeColor="text1"/>
            <w:sz w:val="24"/>
          </w:rPr>
        </w:r>
        <w:r w:rsidR="006E6B76" w:rsidRPr="005F0ABA">
          <w:rPr>
            <w:rStyle w:val="af0"/>
            <w:rFonts w:ascii="宋体" w:hAnsi="宋体" w:hint="eastAsia"/>
            <w:noProof/>
            <w:color w:val="000000" w:themeColor="text1"/>
            <w:sz w:val="24"/>
          </w:rPr>
          <w:fldChar w:fldCharType="separate"/>
        </w:r>
        <w:r w:rsidR="00C25EC0">
          <w:rPr>
            <w:rStyle w:val="af0"/>
            <w:rFonts w:ascii="宋体" w:hAnsi="宋体"/>
            <w:noProof/>
            <w:color w:val="000000" w:themeColor="text1"/>
            <w:sz w:val="24"/>
          </w:rPr>
          <w:t>39</w:t>
        </w:r>
        <w:r w:rsidR="006E6B76" w:rsidRPr="005F0ABA">
          <w:rPr>
            <w:rStyle w:val="af0"/>
            <w:rFonts w:ascii="宋体" w:hAnsi="宋体" w:hint="eastAsia"/>
            <w:noProof/>
            <w:color w:val="000000" w:themeColor="text1"/>
            <w:sz w:val="24"/>
          </w:rPr>
          <w:fldChar w:fldCharType="end"/>
        </w:r>
      </w:hyperlink>
    </w:p>
    <w:p w14:paraId="5984EB48" w14:textId="77777777" w:rsidR="003E6A3F" w:rsidRPr="005F0ABA" w:rsidRDefault="006E6B76">
      <w:pPr>
        <w:spacing w:line="360" w:lineRule="auto"/>
        <w:rPr>
          <w:rFonts w:ascii="彩虹粗仿宋" w:eastAsia="彩虹粗仿宋"/>
          <w:color w:val="000000" w:themeColor="text1"/>
          <w:sz w:val="24"/>
        </w:rPr>
      </w:pPr>
      <w:r w:rsidRPr="005F0ABA">
        <w:rPr>
          <w:rFonts w:ascii="宋体" w:hAnsi="宋体" w:hint="eastAsia"/>
          <w:color w:val="000000" w:themeColor="text1"/>
          <w:sz w:val="24"/>
        </w:rPr>
        <w:fldChar w:fldCharType="end"/>
      </w:r>
    </w:p>
    <w:p w14:paraId="5B4321B7" w14:textId="77777777" w:rsidR="003E6A3F" w:rsidRPr="005F0ABA" w:rsidRDefault="006E6B76">
      <w:pPr>
        <w:widowControl/>
        <w:adjustRightInd w:val="0"/>
        <w:snapToGrid w:val="0"/>
        <w:ind w:firstLineChars="200" w:firstLine="480"/>
        <w:rPr>
          <w:rFonts w:ascii="彩虹粗仿宋" w:eastAsia="彩虹粗仿宋" w:hAnsi="宋体" w:cs="Arial"/>
          <w:color w:val="000000" w:themeColor="text1"/>
          <w:kern w:val="0"/>
          <w:sz w:val="24"/>
        </w:rPr>
      </w:pPr>
      <w:r w:rsidRPr="005F0ABA">
        <w:rPr>
          <w:rFonts w:ascii="彩虹粗仿宋" w:eastAsia="彩虹粗仿宋" w:hAnsi="宋体" w:cs="Arial"/>
          <w:color w:val="000000" w:themeColor="text1"/>
          <w:kern w:val="0"/>
          <w:sz w:val="24"/>
        </w:rPr>
        <w:br w:type="page"/>
      </w:r>
    </w:p>
    <w:p w14:paraId="39714D49" w14:textId="77777777" w:rsidR="003E6A3F" w:rsidRPr="005F0ABA" w:rsidRDefault="003E6A3F">
      <w:pPr>
        <w:widowControl/>
        <w:adjustRightInd w:val="0"/>
        <w:snapToGrid w:val="0"/>
        <w:spacing w:line="360" w:lineRule="auto"/>
        <w:ind w:firstLineChars="200" w:firstLine="480"/>
        <w:rPr>
          <w:rFonts w:ascii="宋体" w:hAnsi="宋体" w:cs="Arial"/>
          <w:color w:val="000000" w:themeColor="text1"/>
          <w:kern w:val="0"/>
          <w:sz w:val="24"/>
        </w:rPr>
      </w:pPr>
    </w:p>
    <w:p w14:paraId="4AAEC143" w14:textId="033D4936" w:rsidR="003E6A3F" w:rsidRPr="005F0ABA" w:rsidRDefault="006E6B76">
      <w:pPr>
        <w:widowControl/>
        <w:adjustRightInd w:val="0"/>
        <w:snapToGrid w:val="0"/>
        <w:spacing w:line="360" w:lineRule="auto"/>
        <w:ind w:firstLineChars="200" w:firstLine="480"/>
        <w:rPr>
          <w:rFonts w:ascii="宋体" w:hAnsi="宋体" w:cs="Arial"/>
          <w:color w:val="000000" w:themeColor="text1"/>
          <w:kern w:val="0"/>
          <w:sz w:val="24"/>
        </w:rPr>
      </w:pPr>
      <w:r w:rsidRPr="005F0ABA">
        <w:rPr>
          <w:rFonts w:ascii="宋体" w:hAnsi="宋体" w:cs="Arial" w:hint="eastAsia"/>
          <w:color w:val="000000" w:themeColor="text1"/>
          <w:kern w:val="0"/>
          <w:sz w:val="24"/>
        </w:rPr>
        <w:t>鉴于</w:t>
      </w:r>
      <w:proofErr w:type="gramStart"/>
      <w:r w:rsidRPr="005F0ABA">
        <w:rPr>
          <w:rFonts w:ascii="宋体" w:hAnsi="宋体" w:cs="Arial" w:hint="eastAsia"/>
          <w:color w:val="000000" w:themeColor="text1"/>
          <w:kern w:val="0"/>
          <w:sz w:val="24"/>
        </w:rPr>
        <w:t>浦银基金</w:t>
      </w:r>
      <w:proofErr w:type="gramEnd"/>
      <w:r w:rsidRPr="005F0ABA">
        <w:rPr>
          <w:rFonts w:ascii="宋体" w:hAnsi="宋体" w:cs="Arial" w:hint="eastAsia"/>
          <w:color w:val="000000" w:themeColor="text1"/>
          <w:kern w:val="0"/>
          <w:sz w:val="24"/>
        </w:rPr>
        <w:t>管理有限公司系一家依照中国法律合法成立并有效存续的有限责任公司，按照相关法律法规的规定具备担任基金管理人的资格和能力，拟募集发行</w:t>
      </w:r>
      <w:proofErr w:type="gramStart"/>
      <w:r w:rsidRPr="005F0ABA">
        <w:rPr>
          <w:rFonts w:ascii="宋体" w:hAnsi="宋体" w:cs="Arial" w:hint="eastAsia"/>
          <w:color w:val="000000" w:themeColor="text1"/>
          <w:kern w:val="0"/>
          <w:sz w:val="24"/>
        </w:rPr>
        <w:t>浦银裕鑫</w:t>
      </w:r>
      <w:proofErr w:type="gramEnd"/>
      <w:r w:rsidRPr="005F0ABA">
        <w:rPr>
          <w:rFonts w:ascii="宋体" w:hAnsi="宋体" w:cs="Arial" w:hint="eastAsia"/>
          <w:color w:val="000000" w:themeColor="text1"/>
          <w:kern w:val="0"/>
          <w:sz w:val="24"/>
        </w:rPr>
        <w:t>120天持有期债券型证券投资基金；</w:t>
      </w:r>
    </w:p>
    <w:p w14:paraId="2D38F5B7" w14:textId="77777777" w:rsidR="003E6A3F" w:rsidRPr="005F0ABA" w:rsidRDefault="006E6B76">
      <w:pPr>
        <w:widowControl/>
        <w:adjustRightInd w:val="0"/>
        <w:snapToGrid w:val="0"/>
        <w:spacing w:line="360" w:lineRule="auto"/>
        <w:ind w:firstLineChars="200" w:firstLine="480"/>
        <w:rPr>
          <w:rFonts w:ascii="宋体" w:hAnsi="宋体" w:cs="Arial"/>
          <w:color w:val="000000" w:themeColor="text1"/>
          <w:kern w:val="0"/>
          <w:sz w:val="24"/>
        </w:rPr>
      </w:pPr>
      <w:r w:rsidRPr="005F0ABA">
        <w:rPr>
          <w:rFonts w:ascii="宋体" w:hAnsi="宋体" w:cs="Arial" w:hint="eastAsia"/>
          <w:color w:val="000000" w:themeColor="text1"/>
          <w:kern w:val="0"/>
          <w:sz w:val="24"/>
        </w:rPr>
        <w:t>鉴于中国建设银行股份有限公司系一家依照中国法律合法成立并有效存续的银行，按照相关法律法规的规定具备担任基金托管人的资格和能力；</w:t>
      </w:r>
    </w:p>
    <w:p w14:paraId="7D37472B" w14:textId="53980A6A" w:rsidR="003E6A3F" w:rsidRPr="005F0ABA" w:rsidRDefault="006E6B76">
      <w:pPr>
        <w:widowControl/>
        <w:adjustRightInd w:val="0"/>
        <w:snapToGrid w:val="0"/>
        <w:spacing w:line="360" w:lineRule="auto"/>
        <w:ind w:firstLineChars="200" w:firstLine="480"/>
        <w:rPr>
          <w:rFonts w:ascii="宋体" w:hAnsi="宋体" w:cs="Arial"/>
          <w:color w:val="000000" w:themeColor="text1"/>
          <w:kern w:val="0"/>
          <w:sz w:val="24"/>
        </w:rPr>
      </w:pPr>
      <w:r w:rsidRPr="005F0ABA">
        <w:rPr>
          <w:rFonts w:ascii="宋体" w:hAnsi="宋体" w:cs="Arial" w:hint="eastAsia"/>
          <w:color w:val="000000" w:themeColor="text1"/>
          <w:kern w:val="0"/>
          <w:sz w:val="24"/>
        </w:rPr>
        <w:t>鉴于</w:t>
      </w:r>
      <w:proofErr w:type="gramStart"/>
      <w:r w:rsidRPr="005F0ABA">
        <w:rPr>
          <w:rFonts w:ascii="宋体" w:hAnsi="宋体" w:cs="Arial" w:hint="eastAsia"/>
          <w:color w:val="000000" w:themeColor="text1"/>
          <w:kern w:val="0"/>
          <w:sz w:val="24"/>
        </w:rPr>
        <w:t>浦银基金</w:t>
      </w:r>
      <w:proofErr w:type="gramEnd"/>
      <w:r w:rsidRPr="005F0ABA">
        <w:rPr>
          <w:rFonts w:ascii="宋体" w:hAnsi="宋体" w:cs="Arial" w:hint="eastAsia"/>
          <w:color w:val="000000" w:themeColor="text1"/>
          <w:kern w:val="0"/>
          <w:sz w:val="24"/>
        </w:rPr>
        <w:t>管理有限公司拟担任</w:t>
      </w:r>
      <w:proofErr w:type="gramStart"/>
      <w:r w:rsidRPr="005F0ABA">
        <w:rPr>
          <w:rFonts w:ascii="宋体" w:hAnsi="宋体" w:cs="Arial" w:hint="eastAsia"/>
          <w:color w:val="000000" w:themeColor="text1"/>
          <w:kern w:val="0"/>
          <w:sz w:val="24"/>
        </w:rPr>
        <w:t>浦银裕鑫</w:t>
      </w:r>
      <w:proofErr w:type="gramEnd"/>
      <w:r w:rsidRPr="005F0ABA">
        <w:rPr>
          <w:rFonts w:ascii="宋体" w:hAnsi="宋体" w:cs="Arial" w:hint="eastAsia"/>
          <w:color w:val="000000" w:themeColor="text1"/>
          <w:kern w:val="0"/>
          <w:sz w:val="24"/>
        </w:rPr>
        <w:t>120天持有期债券型证券投资基金的基金管理人，中国建设银行股份有限公司拟担任</w:t>
      </w:r>
      <w:proofErr w:type="gramStart"/>
      <w:r w:rsidRPr="005F0ABA">
        <w:rPr>
          <w:rFonts w:ascii="宋体" w:hAnsi="宋体" w:cs="Arial" w:hint="eastAsia"/>
          <w:color w:val="000000" w:themeColor="text1"/>
          <w:kern w:val="0"/>
          <w:sz w:val="24"/>
        </w:rPr>
        <w:t>浦银裕鑫</w:t>
      </w:r>
      <w:proofErr w:type="gramEnd"/>
      <w:r w:rsidRPr="005F0ABA">
        <w:rPr>
          <w:rFonts w:ascii="宋体" w:hAnsi="宋体" w:cs="Arial" w:hint="eastAsia"/>
          <w:color w:val="000000" w:themeColor="text1"/>
          <w:kern w:val="0"/>
          <w:sz w:val="24"/>
        </w:rPr>
        <w:t>120天持有期债券型证券投资基金的基金托管人；</w:t>
      </w:r>
    </w:p>
    <w:p w14:paraId="4CB226B8" w14:textId="0AD464B8" w:rsidR="003E6A3F" w:rsidRPr="005F0ABA" w:rsidRDefault="006E6B76">
      <w:pPr>
        <w:widowControl/>
        <w:adjustRightInd w:val="0"/>
        <w:snapToGrid w:val="0"/>
        <w:spacing w:line="360" w:lineRule="auto"/>
        <w:ind w:firstLineChars="200" w:firstLine="480"/>
        <w:rPr>
          <w:rFonts w:ascii="宋体" w:hAnsi="宋体" w:cs="Arial"/>
          <w:color w:val="000000" w:themeColor="text1"/>
          <w:kern w:val="0"/>
          <w:sz w:val="24"/>
        </w:rPr>
      </w:pPr>
      <w:r w:rsidRPr="005F0ABA">
        <w:rPr>
          <w:rFonts w:ascii="宋体" w:hAnsi="宋体" w:cs="Arial" w:hint="eastAsia"/>
          <w:color w:val="000000" w:themeColor="text1"/>
          <w:kern w:val="0"/>
          <w:sz w:val="24"/>
        </w:rPr>
        <w:t>为明确</w:t>
      </w:r>
      <w:proofErr w:type="gramStart"/>
      <w:r w:rsidRPr="005F0ABA">
        <w:rPr>
          <w:rFonts w:ascii="宋体" w:hAnsi="宋体" w:cs="Arial" w:hint="eastAsia"/>
          <w:color w:val="000000" w:themeColor="text1"/>
          <w:kern w:val="0"/>
          <w:sz w:val="24"/>
        </w:rPr>
        <w:t>浦银裕鑫</w:t>
      </w:r>
      <w:proofErr w:type="gramEnd"/>
      <w:r w:rsidRPr="005F0ABA">
        <w:rPr>
          <w:rFonts w:ascii="宋体" w:hAnsi="宋体" w:cs="Arial" w:hint="eastAsia"/>
          <w:color w:val="000000" w:themeColor="text1"/>
          <w:kern w:val="0"/>
          <w:sz w:val="24"/>
        </w:rPr>
        <w:t>120天持有期债券型证券投资基金的基金管理人和基金托管人之间的权利义务关系，特制订本托管协议；</w:t>
      </w:r>
    </w:p>
    <w:p w14:paraId="69844279" w14:textId="1128A304" w:rsidR="003E6A3F" w:rsidRPr="005F0ABA" w:rsidRDefault="006E6B76">
      <w:pPr>
        <w:widowControl/>
        <w:adjustRightInd w:val="0"/>
        <w:snapToGrid w:val="0"/>
        <w:spacing w:line="360" w:lineRule="auto"/>
        <w:ind w:firstLineChars="200" w:firstLine="480"/>
        <w:rPr>
          <w:rFonts w:ascii="宋体" w:hAnsi="宋体" w:cs="Arial"/>
          <w:color w:val="000000" w:themeColor="text1"/>
          <w:kern w:val="0"/>
          <w:sz w:val="24"/>
          <w:lang w:val="en-GB"/>
        </w:rPr>
      </w:pPr>
      <w:r w:rsidRPr="005F0ABA">
        <w:rPr>
          <w:rFonts w:ascii="宋体" w:hAnsi="宋体" w:cs="Arial" w:hint="eastAsia"/>
          <w:color w:val="000000" w:themeColor="text1"/>
          <w:kern w:val="0"/>
          <w:sz w:val="24"/>
          <w:lang w:val="en-GB"/>
        </w:rPr>
        <w:t>除非另有约定，《</w:t>
      </w:r>
      <w:r w:rsidRPr="005F0ABA">
        <w:rPr>
          <w:rFonts w:ascii="宋体" w:hAnsi="宋体" w:cs="Arial" w:hint="eastAsia"/>
          <w:color w:val="000000" w:themeColor="text1"/>
          <w:kern w:val="0"/>
          <w:sz w:val="24"/>
        </w:rPr>
        <w:t>浦银裕鑫120天持有期债券型证券投资基金</w:t>
      </w:r>
      <w:r w:rsidRPr="005F0ABA">
        <w:rPr>
          <w:rFonts w:ascii="宋体" w:hAnsi="宋体" w:cs="Arial" w:hint="eastAsia"/>
          <w:color w:val="000000" w:themeColor="text1"/>
          <w:kern w:val="0"/>
          <w:sz w:val="24"/>
          <w:lang w:val="en-GB"/>
        </w:rPr>
        <w:t>基金合同》</w:t>
      </w:r>
      <w:r w:rsidRPr="005F0ABA">
        <w:rPr>
          <w:rFonts w:ascii="宋体" w:hAnsi="宋体" w:cs="Arial"/>
          <w:color w:val="000000" w:themeColor="text1"/>
          <w:kern w:val="0"/>
          <w:sz w:val="24"/>
          <w:lang w:val="en-GB"/>
        </w:rPr>
        <w:t>(以下简称“基金合同”</w:t>
      </w:r>
      <w:r w:rsidRPr="005F0ABA">
        <w:rPr>
          <w:rFonts w:ascii="宋体" w:hAnsi="宋体" w:cs="Arial" w:hint="eastAsia"/>
          <w:color w:val="000000" w:themeColor="text1"/>
          <w:kern w:val="0"/>
          <w:sz w:val="24"/>
          <w:lang w:val="en-GB"/>
        </w:rPr>
        <w:t>或“《基金合同》”</w:t>
      </w:r>
      <w:r w:rsidRPr="005F0ABA">
        <w:rPr>
          <w:rFonts w:ascii="宋体" w:hAnsi="宋体" w:cs="Arial"/>
          <w:color w:val="000000" w:themeColor="text1"/>
          <w:kern w:val="0"/>
          <w:sz w:val="24"/>
          <w:lang w:val="en-GB"/>
        </w:rPr>
        <w:t>)中定义的术语在用于本托管协议时应具有相同的含义；若有抵触应以《基金合同》为准，并依其</w:t>
      </w:r>
      <w:r w:rsidRPr="005F0ABA">
        <w:rPr>
          <w:rFonts w:ascii="宋体" w:hAnsi="宋体" w:cs="Arial" w:hint="eastAsia"/>
          <w:color w:val="000000" w:themeColor="text1"/>
          <w:kern w:val="0"/>
          <w:sz w:val="24"/>
        </w:rPr>
        <w:t>条款</w:t>
      </w:r>
      <w:r w:rsidRPr="005F0ABA">
        <w:rPr>
          <w:rFonts w:ascii="宋体" w:hAnsi="宋体" w:cs="Arial" w:hint="eastAsia"/>
          <w:color w:val="000000" w:themeColor="text1"/>
          <w:kern w:val="0"/>
          <w:sz w:val="24"/>
          <w:lang w:val="en-GB"/>
        </w:rPr>
        <w:t>解释。</w:t>
      </w:r>
    </w:p>
    <w:p w14:paraId="11F70FCD" w14:textId="77777777" w:rsidR="003E6A3F" w:rsidRPr="005F0ABA" w:rsidRDefault="006E6B76">
      <w:pPr>
        <w:widowControl/>
        <w:adjustRightInd w:val="0"/>
        <w:snapToGrid w:val="0"/>
        <w:spacing w:line="360" w:lineRule="auto"/>
        <w:ind w:firstLineChars="200" w:firstLine="480"/>
        <w:rPr>
          <w:rFonts w:ascii="宋体" w:hAnsi="宋体" w:cs="Arial"/>
          <w:color w:val="000000" w:themeColor="text1"/>
          <w:kern w:val="0"/>
          <w:sz w:val="24"/>
          <w:lang w:val="en-GB"/>
        </w:rPr>
      </w:pPr>
      <w:r w:rsidRPr="005F0ABA">
        <w:rPr>
          <w:rFonts w:ascii="宋体" w:hAnsi="宋体" w:cs="Arial" w:hint="eastAsia"/>
          <w:color w:val="000000" w:themeColor="text1"/>
          <w:kern w:val="0"/>
          <w:sz w:val="24"/>
          <w:lang w:val="en-GB"/>
        </w:rPr>
        <w:t>若本基金实施</w:t>
      </w:r>
      <w:proofErr w:type="gramStart"/>
      <w:r w:rsidRPr="005F0ABA">
        <w:rPr>
          <w:rFonts w:ascii="宋体" w:hAnsi="宋体" w:cs="Arial" w:hint="eastAsia"/>
          <w:color w:val="000000" w:themeColor="text1"/>
          <w:kern w:val="0"/>
          <w:sz w:val="24"/>
          <w:lang w:val="en-GB"/>
        </w:rPr>
        <w:t>侧袋机制</w:t>
      </w:r>
      <w:proofErr w:type="gramEnd"/>
      <w:r w:rsidRPr="005F0ABA">
        <w:rPr>
          <w:rFonts w:ascii="宋体" w:hAnsi="宋体" w:cs="Arial" w:hint="eastAsia"/>
          <w:color w:val="000000" w:themeColor="text1"/>
          <w:kern w:val="0"/>
          <w:sz w:val="24"/>
          <w:lang w:val="en-GB"/>
        </w:rPr>
        <w:t>的，</w:t>
      </w:r>
      <w:proofErr w:type="gramStart"/>
      <w:r w:rsidRPr="005F0ABA">
        <w:rPr>
          <w:rFonts w:ascii="宋体" w:hAnsi="宋体" w:cs="Arial" w:hint="eastAsia"/>
          <w:color w:val="000000" w:themeColor="text1"/>
          <w:kern w:val="0"/>
          <w:sz w:val="24"/>
          <w:lang w:val="en-GB"/>
        </w:rPr>
        <w:t>侧袋机制</w:t>
      </w:r>
      <w:proofErr w:type="gramEnd"/>
      <w:r w:rsidRPr="005F0ABA">
        <w:rPr>
          <w:rFonts w:ascii="宋体" w:hAnsi="宋体" w:cs="Arial" w:hint="eastAsia"/>
          <w:color w:val="000000" w:themeColor="text1"/>
          <w:kern w:val="0"/>
          <w:sz w:val="24"/>
          <w:lang w:val="en-GB"/>
        </w:rPr>
        <w:t>实施期间的相关安排</w:t>
      </w:r>
      <w:proofErr w:type="gramStart"/>
      <w:r w:rsidRPr="005F0ABA">
        <w:rPr>
          <w:rFonts w:ascii="宋体" w:hAnsi="宋体" w:cs="Arial" w:hint="eastAsia"/>
          <w:color w:val="000000" w:themeColor="text1"/>
          <w:kern w:val="0"/>
          <w:sz w:val="24"/>
          <w:lang w:val="en-GB"/>
        </w:rPr>
        <w:t>见基金</w:t>
      </w:r>
      <w:proofErr w:type="gramEnd"/>
      <w:r w:rsidRPr="005F0ABA">
        <w:rPr>
          <w:rFonts w:ascii="宋体" w:hAnsi="宋体" w:cs="Arial" w:hint="eastAsia"/>
          <w:color w:val="000000" w:themeColor="text1"/>
          <w:kern w:val="0"/>
          <w:sz w:val="24"/>
          <w:lang w:val="en-GB"/>
        </w:rPr>
        <w:t>合同和招募说明书的规定。</w:t>
      </w:r>
    </w:p>
    <w:p w14:paraId="4E25D7E8" w14:textId="77777777" w:rsidR="003E6A3F" w:rsidRPr="005F0ABA" w:rsidRDefault="006E6B76">
      <w:pPr>
        <w:rPr>
          <w:rFonts w:ascii="彩虹粗仿宋" w:eastAsia="彩虹粗仿宋"/>
          <w:color w:val="000000" w:themeColor="text1"/>
          <w:sz w:val="24"/>
          <w:lang w:val="en-GB"/>
        </w:rPr>
      </w:pPr>
      <w:r w:rsidRPr="005F0ABA">
        <w:rPr>
          <w:rFonts w:ascii="彩虹粗仿宋" w:eastAsia="彩虹粗仿宋"/>
          <w:color w:val="000000" w:themeColor="text1"/>
          <w:sz w:val="24"/>
          <w:lang w:val="en-GB"/>
        </w:rPr>
        <w:br w:type="page"/>
      </w:r>
    </w:p>
    <w:p w14:paraId="1CD8AE1C" w14:textId="77777777" w:rsidR="003E6A3F" w:rsidRPr="005F0ABA" w:rsidRDefault="003E6A3F">
      <w:pPr>
        <w:rPr>
          <w:rFonts w:ascii="彩虹粗仿宋" w:eastAsia="彩虹粗仿宋"/>
          <w:color w:val="000000" w:themeColor="text1"/>
          <w:sz w:val="24"/>
          <w:lang w:val="en-GB"/>
        </w:rPr>
      </w:pPr>
    </w:p>
    <w:p w14:paraId="3F9C1EF2" w14:textId="77777777" w:rsidR="003E6A3F" w:rsidRPr="005F0ABA" w:rsidRDefault="006E6B76">
      <w:pPr>
        <w:pStyle w:val="2"/>
        <w:spacing w:before="0" w:after="0" w:line="360" w:lineRule="auto"/>
        <w:jc w:val="center"/>
        <w:rPr>
          <w:rFonts w:ascii="宋体" w:eastAsia="宋体" w:hAnsi="宋体"/>
          <w:color w:val="000000" w:themeColor="text1"/>
        </w:rPr>
      </w:pPr>
      <w:bookmarkStart w:id="1" w:name="_Toc124325885"/>
      <w:r w:rsidRPr="005F0ABA">
        <w:rPr>
          <w:rFonts w:ascii="宋体" w:eastAsia="宋体" w:hAnsi="宋体" w:hint="eastAsia"/>
          <w:color w:val="000000" w:themeColor="text1"/>
        </w:rPr>
        <w:t>一、基金托管协议当事人</w:t>
      </w:r>
      <w:bookmarkEnd w:id="1"/>
    </w:p>
    <w:p w14:paraId="635BFB4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（一）基金管理人</w:t>
      </w:r>
    </w:p>
    <w:p w14:paraId="5AC40366" w14:textId="5F027E75"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名称：</w:t>
      </w:r>
      <w:proofErr w:type="gramStart"/>
      <w:r w:rsidRPr="005F0ABA">
        <w:rPr>
          <w:rFonts w:ascii="宋体" w:hAnsi="宋体" w:cs="Arial" w:hint="eastAsia"/>
          <w:color w:val="000000" w:themeColor="text1"/>
          <w:sz w:val="24"/>
        </w:rPr>
        <w:t>浦银基金</w:t>
      </w:r>
      <w:proofErr w:type="gramEnd"/>
      <w:r w:rsidRPr="005F0ABA">
        <w:rPr>
          <w:rFonts w:ascii="宋体" w:hAnsi="宋体" w:cs="Arial" w:hint="eastAsia"/>
          <w:color w:val="000000" w:themeColor="text1"/>
          <w:sz w:val="24"/>
        </w:rPr>
        <w:t>管理有限公司</w:t>
      </w:r>
    </w:p>
    <w:p w14:paraId="2CC33EC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注册地址：中国（上海）自由贸易试验区滨江大道</w:t>
      </w:r>
      <w:r w:rsidRPr="005F0ABA">
        <w:rPr>
          <w:rFonts w:ascii="宋体" w:hAnsi="宋体" w:cs="Arial"/>
          <w:color w:val="000000" w:themeColor="text1"/>
          <w:sz w:val="24"/>
        </w:rPr>
        <w:t>5189号地下1层、地上1层至地上4层、地上6层至地上7层</w:t>
      </w:r>
    </w:p>
    <w:p w14:paraId="594BAF7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办公地址：上海市浦东新区滨江大道</w:t>
      </w:r>
      <w:r w:rsidRPr="005F0ABA">
        <w:rPr>
          <w:rFonts w:ascii="宋体" w:hAnsi="宋体" w:cs="Arial"/>
          <w:color w:val="000000" w:themeColor="text1"/>
          <w:sz w:val="24"/>
        </w:rPr>
        <w:t>5189号S2座1-7层</w:t>
      </w:r>
    </w:p>
    <w:p w14:paraId="4796F59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邮政编码：</w:t>
      </w:r>
      <w:r w:rsidRPr="005F0ABA">
        <w:rPr>
          <w:rFonts w:ascii="宋体" w:hAnsi="宋体" w:cs="Arial"/>
          <w:color w:val="000000" w:themeColor="text1"/>
          <w:sz w:val="24"/>
        </w:rPr>
        <w:t>200127</w:t>
      </w:r>
    </w:p>
    <w:p w14:paraId="0557A242" w14:textId="0FFE5E38"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法定代表人：</w:t>
      </w:r>
      <w:r w:rsidR="0005089E" w:rsidRPr="005F0ABA">
        <w:rPr>
          <w:rFonts w:ascii="宋体" w:hAnsi="宋体" w:cs="Arial" w:hint="eastAsia"/>
          <w:color w:val="000000" w:themeColor="text1"/>
          <w:sz w:val="24"/>
        </w:rPr>
        <w:t>张健</w:t>
      </w:r>
    </w:p>
    <w:p w14:paraId="0DF864A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成立日期：</w:t>
      </w:r>
      <w:r w:rsidRPr="005F0ABA">
        <w:rPr>
          <w:rFonts w:ascii="宋体" w:hAnsi="宋体" w:cs="Arial"/>
          <w:color w:val="000000" w:themeColor="text1"/>
          <w:sz w:val="24"/>
        </w:rPr>
        <w:t>2007年8月5日</w:t>
      </w:r>
    </w:p>
    <w:p w14:paraId="0D39B6E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批准设立机关及批准设立文号：中国证监会证</w:t>
      </w:r>
      <w:proofErr w:type="gramStart"/>
      <w:r w:rsidRPr="005F0ABA">
        <w:rPr>
          <w:rFonts w:ascii="宋体" w:hAnsi="宋体" w:cs="Arial" w:hint="eastAsia"/>
          <w:color w:val="000000" w:themeColor="text1"/>
          <w:sz w:val="24"/>
        </w:rPr>
        <w:t>监基金字</w:t>
      </w:r>
      <w:proofErr w:type="gramEnd"/>
      <w:r w:rsidRPr="005F0ABA">
        <w:rPr>
          <w:rFonts w:ascii="宋体" w:hAnsi="宋体" w:cs="Arial" w:hint="eastAsia"/>
          <w:color w:val="000000" w:themeColor="text1"/>
          <w:sz w:val="24"/>
        </w:rPr>
        <w:t>[2007]207号</w:t>
      </w:r>
    </w:p>
    <w:p w14:paraId="7A2B89A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组织形式：有限责任公司</w:t>
      </w:r>
    </w:p>
    <w:p w14:paraId="734C803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注册资本：</w:t>
      </w:r>
      <w:r w:rsidRPr="005F0ABA">
        <w:rPr>
          <w:rFonts w:ascii="宋体" w:hAnsi="宋体" w:cs="Arial"/>
          <w:color w:val="000000" w:themeColor="text1"/>
          <w:sz w:val="24"/>
        </w:rPr>
        <w:t>12</w:t>
      </w:r>
      <w:r w:rsidRPr="005F0ABA">
        <w:rPr>
          <w:rFonts w:ascii="宋体" w:hAnsi="宋体" w:cs="Arial" w:hint="eastAsia"/>
          <w:color w:val="000000" w:themeColor="text1"/>
          <w:sz w:val="24"/>
        </w:rPr>
        <w:t>亿元</w:t>
      </w:r>
    </w:p>
    <w:p w14:paraId="58DEBE6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存续期间：持续经营</w:t>
      </w:r>
    </w:p>
    <w:p w14:paraId="743A5C5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经营范围：基金募集、基金销售、资产管理，境外证券投资管理和中国证监会许可的其他业务。</w:t>
      </w:r>
    </w:p>
    <w:p w14:paraId="7DF54BE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（二）基金托管人</w:t>
      </w:r>
    </w:p>
    <w:p w14:paraId="466E802A"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名称：中国建设银行股份有限公司</w:t>
      </w:r>
      <w:r w:rsidRPr="005F0ABA">
        <w:rPr>
          <w:rFonts w:ascii="宋体" w:hAnsi="宋体" w:cs="Arial"/>
          <w:color w:val="000000" w:themeColor="text1"/>
          <w:sz w:val="24"/>
        </w:rPr>
        <w:t>(简称：中国建设银行)</w:t>
      </w:r>
    </w:p>
    <w:p w14:paraId="1837A69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住所：北京市西城区金融大街</w:t>
      </w:r>
      <w:r w:rsidRPr="005F0ABA">
        <w:rPr>
          <w:rFonts w:ascii="宋体" w:hAnsi="宋体" w:cs="Arial"/>
          <w:color w:val="000000" w:themeColor="text1"/>
          <w:sz w:val="24"/>
        </w:rPr>
        <w:t>25号</w:t>
      </w:r>
    </w:p>
    <w:p w14:paraId="29FEFF2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办公地址：北京市西城区闹市口大街</w:t>
      </w:r>
      <w:r w:rsidRPr="005F0ABA">
        <w:rPr>
          <w:rFonts w:ascii="宋体" w:hAnsi="宋体" w:cs="Arial"/>
          <w:color w:val="000000" w:themeColor="text1"/>
          <w:sz w:val="24"/>
        </w:rPr>
        <w:t>1号院1号楼</w:t>
      </w:r>
    </w:p>
    <w:p w14:paraId="368FE85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邮政编码：</w:t>
      </w:r>
      <w:r w:rsidRPr="005F0ABA">
        <w:rPr>
          <w:rFonts w:ascii="宋体" w:hAnsi="宋体" w:cs="Arial"/>
          <w:color w:val="000000" w:themeColor="text1"/>
          <w:sz w:val="24"/>
        </w:rPr>
        <w:t>100033</w:t>
      </w:r>
    </w:p>
    <w:p w14:paraId="49D04125" w14:textId="4820B616"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法定代表人：</w:t>
      </w:r>
      <w:r w:rsidR="00EB4ED6" w:rsidRPr="005F0ABA">
        <w:rPr>
          <w:rFonts w:hint="eastAsia"/>
          <w:color w:val="000000" w:themeColor="text1"/>
          <w:kern w:val="0"/>
          <w:sz w:val="24"/>
        </w:rPr>
        <w:t>张金良</w:t>
      </w:r>
    </w:p>
    <w:p w14:paraId="555FFA7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成立日期：</w:t>
      </w:r>
      <w:r w:rsidRPr="005F0ABA">
        <w:rPr>
          <w:rFonts w:ascii="宋体" w:hAnsi="宋体" w:cs="Arial"/>
          <w:color w:val="000000" w:themeColor="text1"/>
          <w:sz w:val="24"/>
        </w:rPr>
        <w:t>2004年09月17日</w:t>
      </w:r>
    </w:p>
    <w:p w14:paraId="5E19634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基金托管业务批准文号：中国证监会</w:t>
      </w:r>
      <w:proofErr w:type="gramStart"/>
      <w:r w:rsidRPr="005F0ABA">
        <w:rPr>
          <w:rFonts w:ascii="宋体" w:hAnsi="宋体" w:cs="Arial" w:hint="eastAsia"/>
          <w:color w:val="000000" w:themeColor="text1"/>
          <w:sz w:val="24"/>
        </w:rPr>
        <w:t>证监基字</w:t>
      </w:r>
      <w:proofErr w:type="gramEnd"/>
      <w:r w:rsidRPr="005F0ABA">
        <w:rPr>
          <w:rFonts w:ascii="宋体" w:hAnsi="宋体" w:cs="Arial"/>
          <w:color w:val="000000" w:themeColor="text1"/>
          <w:sz w:val="24"/>
        </w:rPr>
        <w:t>[1998</w:t>
      </w:r>
      <w:bookmarkStart w:id="2" w:name="OLE_LINK3"/>
      <w:r w:rsidRPr="005F0ABA">
        <w:rPr>
          <w:rFonts w:ascii="宋体" w:hAnsi="宋体" w:cs="Arial"/>
          <w:color w:val="000000" w:themeColor="text1"/>
          <w:sz w:val="24"/>
        </w:rPr>
        <w:t>]</w:t>
      </w:r>
      <w:bookmarkEnd w:id="2"/>
      <w:r w:rsidRPr="005F0ABA">
        <w:rPr>
          <w:rFonts w:ascii="宋体" w:hAnsi="宋体" w:cs="Arial"/>
          <w:color w:val="000000" w:themeColor="text1"/>
          <w:sz w:val="24"/>
        </w:rPr>
        <w:t>12号</w:t>
      </w:r>
    </w:p>
    <w:p w14:paraId="0F027AC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组织形式：股份有限公司</w:t>
      </w:r>
    </w:p>
    <w:p w14:paraId="6D2CF1EB" w14:textId="2C7149A9"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注册资本：</w:t>
      </w:r>
      <w:proofErr w:type="gramStart"/>
      <w:r w:rsidR="00D413F2" w:rsidRPr="005F0ABA">
        <w:rPr>
          <w:rFonts w:ascii="宋体" w:hAnsi="宋体" w:hint="eastAsia"/>
          <w:color w:val="000000" w:themeColor="text1"/>
          <w:sz w:val="24"/>
        </w:rPr>
        <w:t>贰仟陆佰壹拾陆亿零叁拾捌万壹仟肆佰伍拾玖</w:t>
      </w:r>
      <w:proofErr w:type="gramEnd"/>
      <w:r w:rsidR="00D413F2" w:rsidRPr="005F0ABA">
        <w:rPr>
          <w:rFonts w:ascii="宋体" w:hAnsi="宋体" w:hint="eastAsia"/>
          <w:color w:val="000000" w:themeColor="text1"/>
          <w:sz w:val="24"/>
        </w:rPr>
        <w:t>元整</w:t>
      </w:r>
    </w:p>
    <w:p w14:paraId="7049A51A"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存续期间：持续经营</w:t>
      </w:r>
    </w:p>
    <w:p w14:paraId="544FC377" w14:textId="77777777" w:rsidR="003E6A3F" w:rsidRPr="005F0ABA" w:rsidRDefault="006E6B76">
      <w:pPr>
        <w:tabs>
          <w:tab w:val="left" w:pos="540"/>
        </w:tabs>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经营范围：吸收公众存款；发放短期、中期、长期贷款；办理国内外结算；办理票据承兑与贴现；发行金融债券；代理发行、代理兑付、承销政府债券；买卖政</w:t>
      </w:r>
      <w:r w:rsidRPr="005F0ABA">
        <w:rPr>
          <w:rFonts w:ascii="宋体" w:hAnsi="宋体" w:cs="Arial" w:hint="eastAsia"/>
          <w:color w:val="000000" w:themeColor="text1"/>
          <w:sz w:val="24"/>
        </w:rPr>
        <w:lastRenderedPageBreak/>
        <w:t>府债券、金融债券；从事同业拆借；买卖、代理买卖外汇；从事银行卡业务；提供信用证服务及担保；代理收付款项及代理保险业务；提供保管箱服务；经中国银行业监督管理机构等监管部门批准的其他业务。</w:t>
      </w:r>
    </w:p>
    <w:p w14:paraId="130A9129" w14:textId="77777777" w:rsidR="003E6A3F" w:rsidRPr="005F0ABA" w:rsidRDefault="003E6A3F">
      <w:pPr>
        <w:spacing w:line="360" w:lineRule="auto"/>
        <w:rPr>
          <w:rFonts w:ascii="宋体" w:hAnsi="宋体"/>
          <w:color w:val="000000" w:themeColor="text1"/>
          <w:sz w:val="24"/>
        </w:rPr>
      </w:pPr>
    </w:p>
    <w:p w14:paraId="176F9F13"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3" w:name="_Toc124325886"/>
      <w:r w:rsidRPr="005F0ABA">
        <w:rPr>
          <w:rFonts w:ascii="宋体" w:eastAsia="宋体" w:hAnsi="宋体" w:hint="eastAsia"/>
          <w:color w:val="000000" w:themeColor="text1"/>
          <w:sz w:val="30"/>
        </w:rPr>
        <w:t>二、基金托管协议的依据、目的和原则</w:t>
      </w:r>
      <w:bookmarkEnd w:id="3"/>
    </w:p>
    <w:p w14:paraId="303652D3" w14:textId="77777777" w:rsidR="003E6A3F" w:rsidRPr="005F0ABA" w:rsidRDefault="006E6B76">
      <w:pPr>
        <w:adjustRightInd w:val="0"/>
        <w:snapToGrid w:val="0"/>
        <w:spacing w:line="360" w:lineRule="auto"/>
        <w:ind w:firstLineChars="200" w:firstLine="480"/>
        <w:rPr>
          <w:rFonts w:ascii="宋体" w:hAnsi="宋体"/>
          <w:color w:val="000000" w:themeColor="text1"/>
          <w:sz w:val="24"/>
          <w:szCs w:val="30"/>
        </w:rPr>
      </w:pPr>
      <w:r w:rsidRPr="005F0ABA">
        <w:rPr>
          <w:rFonts w:ascii="宋体" w:hAnsi="宋体" w:cs="Arial" w:hint="eastAsia"/>
          <w:color w:val="000000" w:themeColor="text1"/>
          <w:sz w:val="24"/>
        </w:rPr>
        <w:t>（一）订立托管协议的依据</w:t>
      </w:r>
    </w:p>
    <w:p w14:paraId="2F1447F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本协议依据《中华人民共和国证券投资基金法》</w:t>
      </w:r>
      <w:r w:rsidRPr="005F0ABA">
        <w:rPr>
          <w:rFonts w:ascii="宋体" w:hAnsi="宋体" w:cs="Arial"/>
          <w:color w:val="000000" w:themeColor="text1"/>
          <w:sz w:val="24"/>
        </w:rPr>
        <w:t>(以下简称“《基金法》”)</w:t>
      </w:r>
      <w:r w:rsidRPr="005F0ABA">
        <w:rPr>
          <w:color w:val="000000" w:themeColor="text1"/>
        </w:rPr>
        <w:t xml:space="preserve"> </w:t>
      </w:r>
      <w:r w:rsidRPr="005F0ABA">
        <w:rPr>
          <w:rFonts w:hint="eastAsia"/>
          <w:color w:val="000000" w:themeColor="text1"/>
        </w:rPr>
        <w:t>、</w:t>
      </w:r>
      <w:r w:rsidRPr="005F0ABA">
        <w:rPr>
          <w:rFonts w:ascii="宋体" w:hAnsi="宋体" w:cs="Arial" w:hint="eastAsia"/>
          <w:color w:val="000000" w:themeColor="text1"/>
          <w:sz w:val="24"/>
        </w:rPr>
        <w:t>《公开募集证券投资基金运作管理办法》（以下简称“《运作办法》”）、《公开募集证券投资基金信息披露管理办法》（以下简称“《信息披露办法》”）、《公开募集开放式证券投资基金流动性风险管理规定》等有关法律法规、《基金合同》及其他有关规定制订。</w:t>
      </w:r>
    </w:p>
    <w:p w14:paraId="3819840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（二）订立托管协议的目的</w:t>
      </w:r>
    </w:p>
    <w:p w14:paraId="45E9F9D2" w14:textId="77777777" w:rsidR="003E6A3F" w:rsidRPr="005F0ABA" w:rsidRDefault="006E6B76">
      <w:pPr>
        <w:adjustRightInd w:val="0"/>
        <w:snapToGrid w:val="0"/>
        <w:spacing w:line="360" w:lineRule="auto"/>
        <w:ind w:firstLineChars="200" w:firstLine="480"/>
        <w:rPr>
          <w:rFonts w:ascii="宋体" w:hAnsi="宋体"/>
          <w:color w:val="000000" w:themeColor="text1"/>
          <w:sz w:val="24"/>
          <w:szCs w:val="30"/>
        </w:rPr>
      </w:pPr>
      <w:r w:rsidRPr="005F0ABA">
        <w:rPr>
          <w:rFonts w:ascii="宋体" w:hAnsi="宋体" w:cs="Arial" w:hint="eastAsia"/>
          <w:color w:val="000000" w:themeColor="text1"/>
          <w:sz w:val="24"/>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3C21D6D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（三）订立托管协议的原则</w:t>
      </w:r>
    </w:p>
    <w:p w14:paraId="793CB380" w14:textId="11B98284"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基金管理人和基金托管人本着平等自愿、诚实信用、充分保护基金份额持有人合法权益的原则，经协商一致，签订本协议。</w:t>
      </w:r>
    </w:p>
    <w:p w14:paraId="784DAD3D" w14:textId="1E857B7C"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（四）</w:t>
      </w:r>
      <w:r w:rsidRPr="005F0ABA">
        <w:rPr>
          <w:rFonts w:ascii="宋体" w:hAnsi="宋体" w:cs="Arial"/>
          <w:color w:val="000000" w:themeColor="text1"/>
          <w:sz w:val="24"/>
        </w:rPr>
        <w:t>免责声明</w:t>
      </w:r>
    </w:p>
    <w:p w14:paraId="56FBFC03"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基金托管人开展托管业务，不得承担以下职责：</w:t>
      </w:r>
    </w:p>
    <w:p w14:paraId="1BFFECDD"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1.承担基金财产的信用风险、市场风险等；</w:t>
      </w:r>
    </w:p>
    <w:p w14:paraId="442E91BB"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2.为基金提供直接或间接、显性或隐性担保，包括承诺本金或保证收益；</w:t>
      </w:r>
    </w:p>
    <w:p w14:paraId="49999CA8"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3.为基金垫付资金、提供流动性支持或融资承诺等；</w:t>
      </w:r>
    </w:p>
    <w:p w14:paraId="251BBE30"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4.参与投资者适当性管理；</w:t>
      </w:r>
    </w:p>
    <w:p w14:paraId="345BF328"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5.保证投资项目及交易信息真实性；</w:t>
      </w:r>
    </w:p>
    <w:p w14:paraId="468C1674"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6.保证基金资金来源的合法合</w:t>
      </w:r>
      <w:proofErr w:type="gramStart"/>
      <w:r w:rsidRPr="005F0ABA">
        <w:rPr>
          <w:rFonts w:ascii="宋体" w:hAnsi="宋体" w:cs="Arial"/>
          <w:color w:val="000000" w:themeColor="text1"/>
          <w:sz w:val="24"/>
        </w:rPr>
        <w:t>规</w:t>
      </w:r>
      <w:proofErr w:type="gramEnd"/>
      <w:r w:rsidRPr="005F0ABA">
        <w:rPr>
          <w:rFonts w:ascii="宋体" w:hAnsi="宋体" w:cs="Arial"/>
          <w:color w:val="000000" w:themeColor="text1"/>
          <w:sz w:val="24"/>
        </w:rPr>
        <w:t>性；</w:t>
      </w:r>
    </w:p>
    <w:p w14:paraId="07464094"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7.对已划出托管账户以及处于基金托管人实际控制之外的资产承担保管责任；</w:t>
      </w:r>
    </w:p>
    <w:p w14:paraId="2D28187A"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8.参与基金管理人对基金的投资决策；</w:t>
      </w:r>
    </w:p>
    <w:p w14:paraId="763FC853"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9.违规代替基金管理人向其他机构或者个人进行基金信息披露或提供相关数</w:t>
      </w:r>
      <w:r w:rsidRPr="005F0ABA">
        <w:rPr>
          <w:rFonts w:ascii="宋体" w:hAnsi="宋体" w:cs="Arial"/>
          <w:color w:val="000000" w:themeColor="text1"/>
          <w:sz w:val="24"/>
        </w:rPr>
        <w:lastRenderedPageBreak/>
        <w:t>据信息；</w:t>
      </w:r>
    </w:p>
    <w:p w14:paraId="07F5075A"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10.基金管理人未接受基金托管人的复核意见进行信息披露产生的相应责任；</w:t>
      </w:r>
    </w:p>
    <w:p w14:paraId="5E27AA16" w14:textId="77777777"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11.负责未兑付产品的资金追偿、财产保全、诉讼仲裁、债务重组和破产程序等，法律另有规定的除外；</w:t>
      </w:r>
    </w:p>
    <w:p w14:paraId="32B4F625" w14:textId="01DF00BE"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12.因不可抗力，以及</w:t>
      </w:r>
      <w:proofErr w:type="gramStart"/>
      <w:r w:rsidRPr="005F0ABA">
        <w:rPr>
          <w:rFonts w:ascii="宋体" w:hAnsi="宋体" w:cs="Arial"/>
          <w:color w:val="000000" w:themeColor="text1"/>
          <w:sz w:val="24"/>
        </w:rPr>
        <w:t>非</w:t>
      </w:r>
      <w:r w:rsidRPr="005F0ABA">
        <w:rPr>
          <w:rFonts w:ascii="宋体" w:hAnsi="宋体" w:cs="Arial" w:hint="eastAsia"/>
          <w:color w:val="000000" w:themeColor="text1"/>
          <w:sz w:val="24"/>
        </w:rPr>
        <w:t>基金</w:t>
      </w:r>
      <w:proofErr w:type="gramEnd"/>
      <w:r w:rsidRPr="005F0ABA">
        <w:rPr>
          <w:rFonts w:ascii="宋体" w:hAnsi="宋体" w:cs="Arial" w:hint="eastAsia"/>
          <w:color w:val="000000" w:themeColor="text1"/>
          <w:sz w:val="24"/>
        </w:rPr>
        <w:t>托管人</w:t>
      </w:r>
      <w:r w:rsidRPr="005F0ABA">
        <w:rPr>
          <w:rFonts w:ascii="宋体" w:hAnsi="宋体" w:cs="Arial"/>
          <w:color w:val="000000" w:themeColor="text1"/>
          <w:sz w:val="24"/>
        </w:rPr>
        <w:t>履职错误或过失造成的托管资产损失；</w:t>
      </w:r>
    </w:p>
    <w:p w14:paraId="14D0B309" w14:textId="6353AF59" w:rsidR="00E5336F" w:rsidRPr="005F0ABA" w:rsidRDefault="00E5336F" w:rsidP="00E5336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13.国务院金融监管部门规定的不属于基金托管人托管业务范围的其他职责。</w:t>
      </w:r>
    </w:p>
    <w:p w14:paraId="28BF1FD3" w14:textId="77777777" w:rsidR="003E6A3F" w:rsidRPr="005F0ABA" w:rsidRDefault="003E6A3F">
      <w:pPr>
        <w:spacing w:line="360" w:lineRule="auto"/>
        <w:rPr>
          <w:rFonts w:ascii="宋体" w:hAnsi="宋体"/>
          <w:color w:val="000000" w:themeColor="text1"/>
          <w:sz w:val="24"/>
        </w:rPr>
      </w:pPr>
    </w:p>
    <w:p w14:paraId="4734B1E7" w14:textId="77777777" w:rsidR="003E6A3F" w:rsidRPr="005F0ABA" w:rsidRDefault="006E6B76">
      <w:pPr>
        <w:pStyle w:val="2"/>
        <w:spacing w:before="0" w:after="0" w:line="360" w:lineRule="auto"/>
        <w:jc w:val="center"/>
        <w:rPr>
          <w:rFonts w:ascii="宋体" w:eastAsia="宋体" w:hAnsi="宋体"/>
          <w:color w:val="000000" w:themeColor="text1"/>
          <w:sz w:val="30"/>
          <w:szCs w:val="24"/>
        </w:rPr>
      </w:pPr>
      <w:bookmarkStart w:id="4" w:name="_Toc124325887"/>
      <w:r w:rsidRPr="005F0ABA">
        <w:rPr>
          <w:rFonts w:ascii="宋体" w:eastAsia="宋体" w:hAnsi="宋体" w:hint="eastAsia"/>
          <w:color w:val="000000" w:themeColor="text1"/>
          <w:sz w:val="30"/>
        </w:rPr>
        <w:t>三、基金托管人对基金管理人的业务监督和核查</w:t>
      </w:r>
      <w:bookmarkEnd w:id="4"/>
    </w:p>
    <w:p w14:paraId="6274D6CC" w14:textId="536D3FC7" w:rsidR="003E6A3F" w:rsidRPr="005F0ABA" w:rsidRDefault="006E6B76" w:rsidP="00AE18B2">
      <w:pPr>
        <w:adjustRightInd w:val="0"/>
        <w:snapToGrid w:val="0"/>
        <w:spacing w:line="360" w:lineRule="auto"/>
        <w:ind w:firstLineChars="200" w:firstLine="480"/>
        <w:rPr>
          <w:rFonts w:ascii="宋体" w:hAnsi="宋体"/>
          <w:bCs/>
          <w:color w:val="000000" w:themeColor="text1"/>
          <w:sz w:val="24"/>
        </w:rPr>
      </w:pPr>
      <w:r w:rsidRPr="005F0ABA">
        <w:rPr>
          <w:rFonts w:ascii="宋体" w:hAnsi="宋体" w:cs="Arial" w:hint="eastAsia"/>
          <w:color w:val="000000" w:themeColor="text1"/>
          <w:sz w:val="24"/>
        </w:rPr>
        <w:t>（一）基金托管人根据有关法律法规的规定及《基金合同》的约定，对基金投资范围、投资对象进行监督。</w:t>
      </w:r>
      <w:r w:rsidR="00AE18B2" w:rsidRPr="005F0ABA">
        <w:rPr>
          <w:rFonts w:ascii="宋体" w:hAnsi="宋体" w:cs="Arial" w:hint="eastAsia"/>
          <w:color w:val="000000" w:themeColor="text1"/>
          <w:sz w:val="24"/>
        </w:rPr>
        <w:t>《基金合同》明确约定基金投资风格或证券选择标准的，基金管理人应按照基金托管人要求的格式，将拟投资的标的证券</w:t>
      </w:r>
      <w:proofErr w:type="gramStart"/>
      <w:r w:rsidR="00AE18B2" w:rsidRPr="005F0ABA">
        <w:rPr>
          <w:rFonts w:ascii="宋体" w:hAnsi="宋体" w:cs="Arial" w:hint="eastAsia"/>
          <w:color w:val="000000" w:themeColor="text1"/>
          <w:sz w:val="24"/>
        </w:rPr>
        <w:t>库提供</w:t>
      </w:r>
      <w:proofErr w:type="gramEnd"/>
      <w:r w:rsidR="00AE18B2" w:rsidRPr="005F0ABA">
        <w:rPr>
          <w:rFonts w:ascii="宋体" w:hAnsi="宋体" w:cs="Arial" w:hint="eastAsia"/>
          <w:color w:val="000000" w:themeColor="text1"/>
          <w:sz w:val="24"/>
        </w:rPr>
        <w:t>给基金托管人，基金管理人可以根据实际情况的变化，对标的证券</w:t>
      </w:r>
      <w:proofErr w:type="gramStart"/>
      <w:r w:rsidR="00AE18B2" w:rsidRPr="005F0ABA">
        <w:rPr>
          <w:rFonts w:ascii="宋体" w:hAnsi="宋体" w:cs="Arial" w:hint="eastAsia"/>
          <w:color w:val="000000" w:themeColor="text1"/>
          <w:sz w:val="24"/>
        </w:rPr>
        <w:t>库予以</w:t>
      </w:r>
      <w:proofErr w:type="gramEnd"/>
      <w:r w:rsidR="00AE18B2" w:rsidRPr="005F0ABA">
        <w:rPr>
          <w:rFonts w:ascii="宋体" w:hAnsi="宋体" w:cs="Arial" w:hint="eastAsia"/>
          <w:color w:val="000000" w:themeColor="text1"/>
          <w:sz w:val="24"/>
        </w:rPr>
        <w:t>更新和调整并及时书面通知基金托管人。基金托管人根据上述投资范围对基金实际投资是否符合《基金合同》关于证券选择标准的约定进行监督。</w:t>
      </w:r>
      <w:bookmarkStart w:id="5" w:name="_Hlk119332148"/>
      <w:r w:rsidRPr="005F0ABA">
        <w:rPr>
          <w:rFonts w:ascii="宋体" w:hAnsi="宋体" w:hint="eastAsia"/>
          <w:bCs/>
          <w:color w:val="000000" w:themeColor="text1"/>
          <w:sz w:val="24"/>
        </w:rPr>
        <w:t>本基金的投资范围为具有良好流动性的债券（国债、金融债、企业债、公司债、央行票据、中期票据、短期融资</w:t>
      </w:r>
      <w:proofErr w:type="gramStart"/>
      <w:r w:rsidRPr="005F0ABA">
        <w:rPr>
          <w:rFonts w:ascii="宋体" w:hAnsi="宋体" w:hint="eastAsia"/>
          <w:bCs/>
          <w:color w:val="000000" w:themeColor="text1"/>
          <w:sz w:val="24"/>
        </w:rPr>
        <w:t>券</w:t>
      </w:r>
      <w:proofErr w:type="gramEnd"/>
      <w:r w:rsidRPr="005F0ABA">
        <w:rPr>
          <w:rFonts w:ascii="宋体" w:hAnsi="宋体" w:hint="eastAsia"/>
          <w:bCs/>
          <w:color w:val="000000" w:themeColor="text1"/>
          <w:sz w:val="24"/>
        </w:rPr>
        <w:t>、超短期融资</w:t>
      </w:r>
      <w:proofErr w:type="gramStart"/>
      <w:r w:rsidRPr="005F0ABA">
        <w:rPr>
          <w:rFonts w:ascii="宋体" w:hAnsi="宋体" w:hint="eastAsia"/>
          <w:bCs/>
          <w:color w:val="000000" w:themeColor="text1"/>
          <w:sz w:val="24"/>
        </w:rPr>
        <w:t>券</w:t>
      </w:r>
      <w:proofErr w:type="gramEnd"/>
      <w:r w:rsidRPr="005F0ABA">
        <w:rPr>
          <w:rFonts w:ascii="宋体" w:hAnsi="宋体" w:hint="eastAsia"/>
          <w:bCs/>
          <w:color w:val="000000" w:themeColor="text1"/>
          <w:sz w:val="24"/>
        </w:rPr>
        <w:t>、地方政府债、次级债等）、资产支持证券、债券回购、同业存单、银行存款、国债期货、信用衍生品等法律法规或中国证监会允许基金投资的其他金融工具（但须符合中国证监会的相关规定）。</w:t>
      </w:r>
    </w:p>
    <w:p w14:paraId="37613B1C"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本基金不投资于股票，也不投资于可转换债券、可交换债券。</w:t>
      </w:r>
    </w:p>
    <w:p w14:paraId="28256356"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如法律法规或监管机构以后允许基金投资其他品种，基金管理人在履行适当程序后，可以将其纳入投资范围。</w:t>
      </w:r>
    </w:p>
    <w:p w14:paraId="3D609CA1"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基金的投资组合比例为：本基金对债券的投资比例不低于基金资产的</w:t>
      </w:r>
      <w:r w:rsidRPr="005F0ABA">
        <w:rPr>
          <w:rFonts w:ascii="宋体" w:hAnsi="宋体"/>
          <w:bCs/>
          <w:color w:val="000000" w:themeColor="text1"/>
          <w:sz w:val="24"/>
        </w:rPr>
        <w:t>80%；每个交易日日终在扣除国债期货合约需缴纳的交易保证金后，保持不低于基金资产净值5%的现金或者到期日在一年以内的政府债券。其中，现金不包括结算备付金、存出保证金和应收申购款等。</w:t>
      </w:r>
    </w:p>
    <w:p w14:paraId="3E65A3C8" w14:textId="77777777" w:rsidR="003E6A3F" w:rsidRPr="005F0ABA" w:rsidRDefault="006E6B76">
      <w:pPr>
        <w:adjustRightInd w:val="0"/>
        <w:snapToGrid w:val="0"/>
        <w:spacing w:line="360" w:lineRule="auto"/>
        <w:ind w:firstLineChars="200" w:firstLine="480"/>
        <w:rPr>
          <w:rFonts w:ascii="宋体" w:hAnsi="宋体"/>
          <w:color w:val="000000" w:themeColor="text1"/>
          <w:sz w:val="24"/>
          <w:szCs w:val="30"/>
        </w:rPr>
      </w:pPr>
      <w:r w:rsidRPr="005F0ABA">
        <w:rPr>
          <w:rFonts w:ascii="宋体" w:hAnsi="宋体" w:hint="eastAsia"/>
          <w:bCs/>
          <w:color w:val="000000" w:themeColor="text1"/>
          <w:sz w:val="24"/>
        </w:rPr>
        <w:t>如法律法规或中国证监会变更投资品种的投资比例限制，基金管理人在履行适当程序后，可以调整上述投资品种的投资比例或按调整后的规定执行。</w:t>
      </w:r>
    </w:p>
    <w:p w14:paraId="5C48FA95" w14:textId="77777777" w:rsidR="003E6A3F" w:rsidRPr="005F0ABA" w:rsidRDefault="006E6B76">
      <w:pPr>
        <w:adjustRightInd w:val="0"/>
        <w:snapToGrid w:val="0"/>
        <w:spacing w:line="360" w:lineRule="auto"/>
        <w:ind w:firstLineChars="200" w:firstLine="480"/>
        <w:rPr>
          <w:rFonts w:ascii="宋体" w:hAnsi="宋体"/>
          <w:color w:val="000000" w:themeColor="text1"/>
          <w:sz w:val="24"/>
        </w:rPr>
      </w:pPr>
      <w:r w:rsidRPr="005F0ABA">
        <w:rPr>
          <w:rFonts w:ascii="宋体" w:hAnsi="宋体" w:hint="eastAsia"/>
          <w:color w:val="000000" w:themeColor="text1"/>
          <w:sz w:val="24"/>
        </w:rPr>
        <w:t>（二）基金托管人根据有关法律法规的规定及《基金合同》的约定，对基金投资、融资比例进行监督。基金托管人按下述比例和调整期限进行监督：</w:t>
      </w:r>
    </w:p>
    <w:p w14:paraId="76C2188B" w14:textId="77777777" w:rsidR="003E6A3F" w:rsidRPr="005F0ABA" w:rsidRDefault="006E6B76">
      <w:pPr>
        <w:spacing w:line="360" w:lineRule="auto"/>
        <w:ind w:firstLineChars="200" w:firstLine="480"/>
        <w:rPr>
          <w:rFonts w:ascii="宋体" w:hAnsi="宋体"/>
          <w:bCs/>
          <w:color w:val="000000" w:themeColor="text1"/>
          <w:sz w:val="24"/>
        </w:rPr>
      </w:pPr>
      <w:bookmarkStart w:id="6" w:name="_Hlk161920864"/>
      <w:r w:rsidRPr="005F0ABA">
        <w:rPr>
          <w:rFonts w:ascii="宋体" w:hAnsi="宋体" w:hint="eastAsia"/>
          <w:bCs/>
          <w:color w:val="000000" w:themeColor="text1"/>
          <w:sz w:val="24"/>
        </w:rPr>
        <w:lastRenderedPageBreak/>
        <w:t>（</w:t>
      </w:r>
      <w:r w:rsidRPr="005F0ABA">
        <w:rPr>
          <w:rFonts w:ascii="宋体" w:hAnsi="宋体"/>
          <w:bCs/>
          <w:color w:val="000000" w:themeColor="text1"/>
          <w:sz w:val="24"/>
        </w:rPr>
        <w:t>1）本基金对债券的投资比例不低于基金资产的80%；</w:t>
      </w:r>
    </w:p>
    <w:p w14:paraId="0F34745A"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2）本基金每个交易日日终在扣除国债期货合约需缴纳的交易保证金后，保持不低于基金资产净值5%的现金或者到期日在一年以内的政府债券，其中现金不包括结算备付金、存出保证金和应收申购款等；</w:t>
      </w:r>
    </w:p>
    <w:p w14:paraId="6A604AE1"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3）本基金持有一家公司发行的证券，其市值不超过基金资产净值的10%；</w:t>
      </w:r>
    </w:p>
    <w:p w14:paraId="0B257DB2"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4）本基金管理人管理</w:t>
      </w:r>
      <w:r w:rsidRPr="005F0ABA">
        <w:rPr>
          <w:rFonts w:ascii="宋体" w:hAnsi="宋体" w:hint="eastAsia"/>
          <w:bCs/>
          <w:color w:val="000000" w:themeColor="text1"/>
          <w:sz w:val="24"/>
        </w:rPr>
        <w:t>且由本基金托管人托管</w:t>
      </w:r>
      <w:r w:rsidRPr="005F0ABA">
        <w:rPr>
          <w:rFonts w:ascii="宋体" w:hAnsi="宋体"/>
          <w:bCs/>
          <w:color w:val="000000" w:themeColor="text1"/>
          <w:sz w:val="24"/>
        </w:rPr>
        <w:t>的全部基金持有一家公司发行的证券，不超过该证券</w:t>
      </w:r>
      <w:r w:rsidRPr="005F0ABA">
        <w:rPr>
          <w:rFonts w:ascii="宋体" w:hAnsi="宋体" w:hint="eastAsia"/>
          <w:bCs/>
          <w:color w:val="000000" w:themeColor="text1"/>
          <w:sz w:val="24"/>
        </w:rPr>
        <w:t>的</w:t>
      </w:r>
      <w:r w:rsidRPr="005F0ABA">
        <w:rPr>
          <w:rFonts w:ascii="宋体" w:hAnsi="宋体"/>
          <w:bCs/>
          <w:color w:val="000000" w:themeColor="text1"/>
          <w:sz w:val="24"/>
        </w:rPr>
        <w:t>10%；</w:t>
      </w:r>
    </w:p>
    <w:p w14:paraId="3853D4FB" w14:textId="73582650"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5）</w:t>
      </w:r>
      <w:r w:rsidR="00D413F2" w:rsidRPr="005F0ABA">
        <w:rPr>
          <w:rFonts w:ascii="宋体" w:hAnsi="宋体" w:hint="eastAsia"/>
          <w:bCs/>
          <w:color w:val="000000" w:themeColor="text1"/>
          <w:sz w:val="24"/>
        </w:rPr>
        <w:t>本基金进行债券回购的最长期限为1年</w:t>
      </w:r>
      <w:r w:rsidRPr="005F0ABA">
        <w:rPr>
          <w:rFonts w:ascii="宋体" w:hAnsi="宋体"/>
          <w:bCs/>
          <w:color w:val="000000" w:themeColor="text1"/>
          <w:sz w:val="24"/>
        </w:rPr>
        <w:t>；</w:t>
      </w:r>
    </w:p>
    <w:p w14:paraId="031E6752"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6）本基金投资于同一原始权益人的各类资产支持证券的比例，不得超过基金资产净值的10%；</w:t>
      </w:r>
    </w:p>
    <w:p w14:paraId="406E68DD"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7）本基金持有的全部资产支持证券，其市值不得超过基金资产净值的20%；</w:t>
      </w:r>
    </w:p>
    <w:p w14:paraId="66B9C957"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8）本基金持有的同一（指同一信用级别）资产支持证券的比例，不得超过该资产支持证券规模的10%；</w:t>
      </w:r>
    </w:p>
    <w:p w14:paraId="006E0466"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9）本基金管理人管理</w:t>
      </w:r>
      <w:r w:rsidRPr="005F0ABA">
        <w:rPr>
          <w:rFonts w:ascii="宋体" w:hAnsi="宋体" w:hint="eastAsia"/>
          <w:bCs/>
          <w:color w:val="000000" w:themeColor="text1"/>
          <w:sz w:val="24"/>
        </w:rPr>
        <w:t>且由本基金托管人托管</w:t>
      </w:r>
      <w:r w:rsidRPr="005F0ABA">
        <w:rPr>
          <w:rFonts w:ascii="宋体" w:hAnsi="宋体"/>
          <w:bCs/>
          <w:color w:val="000000" w:themeColor="text1"/>
          <w:sz w:val="24"/>
        </w:rPr>
        <w:t>的全部基金投资于同一原始权益人的各类资产支持证券，不得超过其各类资产支持证券合计规模的10%；</w:t>
      </w:r>
    </w:p>
    <w:p w14:paraId="17AB5EDA"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10）基金资产总值不得超过基金资产净值的140%；</w:t>
      </w:r>
    </w:p>
    <w:p w14:paraId="2462819A"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11）本基金主动投资于流动性受限资产的市值合计不得超过基金资产净值的15%；因证券/</w:t>
      </w:r>
      <w:r w:rsidRPr="005F0ABA">
        <w:rPr>
          <w:rFonts w:ascii="宋体" w:hAnsi="宋体" w:hint="eastAsia"/>
          <w:bCs/>
          <w:color w:val="000000" w:themeColor="text1"/>
          <w:sz w:val="24"/>
        </w:rPr>
        <w:t>期货市场波动、基金规模变动等基金管理人之外的因素致使基金不符合该比例限制的，基金管理人不得主动新增流动性受限资产的投资；</w:t>
      </w:r>
    </w:p>
    <w:p w14:paraId="7212BCF5"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12）本基金在任何交易日日终，持有的买入国债期货合约价值，不得超过基金资产净值的15%；本基金在任何交易日日终，持有的卖出国债期货合约价值不得超过基金持有的债券总市值的30%；本基金所持有的债券（不含到期日在一年以内的政府债券）市值和买入、卖出国债期货合约价值，合计（轧差计算）应当符合基金合同关于债券投资比例的有关约定；本基金在任何交易日内交易（不包括平仓）的国债期货合约的成交金额不得超过上一交易日基金资产净值的30%；</w:t>
      </w:r>
    </w:p>
    <w:p w14:paraId="0583D8E7"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13</w:t>
      </w:r>
      <w:r w:rsidRPr="005F0ABA">
        <w:rPr>
          <w:rFonts w:ascii="宋体" w:hAnsi="宋体" w:hint="eastAsia"/>
          <w:bCs/>
          <w:color w:val="000000" w:themeColor="text1"/>
          <w:sz w:val="24"/>
        </w:rPr>
        <w:t>）法律法规及中国证监会规定的和《基金合同》约定的其他投资限制。</w:t>
      </w:r>
    </w:p>
    <w:p w14:paraId="2E24DC0D"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除上述第（</w:t>
      </w:r>
      <w:r w:rsidRPr="005F0ABA">
        <w:rPr>
          <w:rFonts w:ascii="宋体" w:hAnsi="宋体"/>
          <w:bCs/>
          <w:color w:val="000000" w:themeColor="text1"/>
          <w:sz w:val="24"/>
        </w:rPr>
        <w:t>2</w:t>
      </w:r>
      <w:r w:rsidRPr="005F0ABA">
        <w:rPr>
          <w:rFonts w:ascii="宋体" w:hAnsi="宋体" w:hint="eastAsia"/>
          <w:bCs/>
          <w:color w:val="000000" w:themeColor="text1"/>
          <w:sz w:val="24"/>
        </w:rPr>
        <w:t>）、（</w:t>
      </w:r>
      <w:r w:rsidRPr="005F0ABA">
        <w:rPr>
          <w:rFonts w:ascii="宋体" w:hAnsi="宋体"/>
          <w:bCs/>
          <w:color w:val="000000" w:themeColor="text1"/>
          <w:sz w:val="24"/>
        </w:rPr>
        <w:t>11）</w:t>
      </w:r>
      <w:r w:rsidRPr="005F0ABA">
        <w:rPr>
          <w:rFonts w:ascii="宋体" w:hAnsi="宋体" w:hint="eastAsia"/>
          <w:bCs/>
          <w:color w:val="000000" w:themeColor="text1"/>
          <w:sz w:val="24"/>
        </w:rPr>
        <w:t>项外，因证券</w:t>
      </w:r>
      <w:r w:rsidRPr="005F0ABA">
        <w:rPr>
          <w:rFonts w:ascii="宋体" w:hAnsi="宋体"/>
          <w:bCs/>
          <w:color w:val="000000" w:themeColor="text1"/>
          <w:sz w:val="24"/>
        </w:rPr>
        <w:t>/期货市场波动、证券发行人合并、基金规模变动等基金管理人之外的因素致使基金投资比例不符合上述规定投资比例的，基金管理人应当在10</w:t>
      </w:r>
      <w:r w:rsidRPr="005F0ABA">
        <w:rPr>
          <w:rFonts w:ascii="宋体" w:hAnsi="宋体" w:hint="eastAsia"/>
          <w:bCs/>
          <w:color w:val="000000" w:themeColor="text1"/>
          <w:sz w:val="24"/>
        </w:rPr>
        <w:t>个交易日内进行调整，但法律法规或中国证监会规定的特殊情形除外。</w:t>
      </w:r>
    </w:p>
    <w:p w14:paraId="571AB929"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lastRenderedPageBreak/>
        <w:t>基金管理人应当自基金合同生效之日起</w:t>
      </w:r>
      <w:r w:rsidRPr="005F0ABA">
        <w:rPr>
          <w:rFonts w:ascii="宋体" w:hAnsi="宋体"/>
          <w:bCs/>
          <w:color w:val="000000" w:themeColor="text1"/>
          <w:sz w:val="24"/>
        </w:rPr>
        <w:t>6个月内使基金的投资组合比例符合基金合同的有关约定。在上述期间内，本基金的投资范围、投资策略应当符合基金合同的约定。基金托管人对基金的投资的监督与检查自基金合同生效之日起开始。</w:t>
      </w:r>
    </w:p>
    <w:p w14:paraId="373E3CF3" w14:textId="17C2B29E"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法律法规或监管部门取消或变更上述限制，如适用于本基金，基金管理人在履行法定程序后，本基金投资不再受相关限制或以变更后的规定为准。</w:t>
      </w:r>
    </w:p>
    <w:bookmarkEnd w:id="6"/>
    <w:p w14:paraId="69B5150F"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（三）基金托管人</w:t>
      </w:r>
      <w:bookmarkStart w:id="7" w:name="OLE_LINK1"/>
      <w:r w:rsidRPr="005F0ABA">
        <w:rPr>
          <w:rFonts w:ascii="宋体" w:hAnsi="宋体" w:cs="Arial" w:hint="eastAsia"/>
          <w:color w:val="000000" w:themeColor="text1"/>
          <w:sz w:val="24"/>
        </w:rPr>
        <w:t>根据有关法律法规的规定及《基金合同》的约定，</w:t>
      </w:r>
      <w:bookmarkEnd w:id="7"/>
      <w:r w:rsidRPr="005F0ABA">
        <w:rPr>
          <w:rFonts w:ascii="宋体" w:hAnsi="宋体" w:cs="Arial" w:hint="eastAsia"/>
          <w:color w:val="000000" w:themeColor="text1"/>
          <w:sz w:val="24"/>
        </w:rPr>
        <w:t>对本托管协议第十五条第九款基金投资禁止行为通过事后监督方式进行监督。</w:t>
      </w:r>
    </w:p>
    <w:p w14:paraId="62F5D80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运用基金财产买卖基金管理人、基金托管人及其控股股东、实际控制人或者与其有其他重大利害关系的公司发行的证券或者承销期内承销的证券，或者从事其他重大关联交易的，应当符合本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bookmarkEnd w:id="5"/>
    <w:p w14:paraId="6FD42497" w14:textId="2307C743"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176844" w:rsidRPr="005F0ABA">
        <w:rPr>
          <w:rFonts w:ascii="宋体" w:hAnsi="宋体" w:cs="Arial" w:hint="eastAsia"/>
          <w:color w:val="000000" w:themeColor="text1"/>
          <w:sz w:val="24"/>
        </w:rPr>
        <w:t>四</w:t>
      </w:r>
      <w:r w:rsidRPr="005F0ABA">
        <w:rPr>
          <w:rFonts w:ascii="宋体" w:hAnsi="宋体" w:cs="Arial" w:hint="eastAsia"/>
          <w:color w:val="000000" w:themeColor="text1"/>
          <w:sz w:val="24"/>
        </w:rPr>
        <w:t>）基金托管人根据有关法律法规的规定及《基金合同》的约定，对基金资产净值计算、各类别基金份额净值计算、应收资金到账、基金费用开支及收入确定、基金收益分配、相关信息披露、基金宣传推介材料中登载基金业绩表现数据等进行监督和核查。</w:t>
      </w:r>
    </w:p>
    <w:p w14:paraId="388CA3C0" w14:textId="52887538"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176844" w:rsidRPr="005F0ABA">
        <w:rPr>
          <w:rFonts w:ascii="宋体" w:hAnsi="宋体" w:cs="Arial" w:hint="eastAsia"/>
          <w:color w:val="000000" w:themeColor="text1"/>
          <w:sz w:val="24"/>
        </w:rPr>
        <w:t>五</w:t>
      </w:r>
      <w:r w:rsidRPr="005F0ABA">
        <w:rPr>
          <w:rFonts w:ascii="宋体" w:hAnsi="宋体" w:cs="Arial" w:hint="eastAsia"/>
          <w:color w:val="000000" w:themeColor="text1"/>
          <w:sz w:val="24"/>
        </w:rPr>
        <w:t>）</w:t>
      </w:r>
      <w:r w:rsidR="00E5336F" w:rsidRPr="005F0ABA">
        <w:rPr>
          <w:rFonts w:hint="eastAsia"/>
          <w:bCs/>
          <w:color w:val="000000" w:themeColor="text1"/>
          <w:sz w:val="24"/>
        </w:rPr>
        <w:t>基金托管人投资监督的准确性和完整性受限于基金管理人及其他中介机构提供的数据和信息。基金托管人在充分获取所必需数据信息的前提下提供投资监督服务。</w:t>
      </w:r>
      <w:r w:rsidRPr="005F0ABA">
        <w:rPr>
          <w:rFonts w:ascii="宋体" w:hAnsi="宋体" w:cs="Arial" w:hint="eastAsia"/>
          <w:color w:val="000000" w:themeColor="text1"/>
          <w:sz w:val="24"/>
        </w:rP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w:t>
      </w:r>
      <w:r w:rsidR="00195CE6" w:rsidRPr="005F0ABA">
        <w:rPr>
          <w:rFonts w:ascii="宋体" w:hAnsi="宋体" w:cs="Arial" w:hint="eastAsia"/>
          <w:color w:val="000000" w:themeColor="text1"/>
          <w:sz w:val="24"/>
        </w:rPr>
        <w:t>在下一个工作日前</w:t>
      </w:r>
      <w:r w:rsidRPr="005F0ABA">
        <w:rPr>
          <w:rFonts w:ascii="宋体" w:hAnsi="宋体" w:cs="Arial" w:hint="eastAsia"/>
          <w:color w:val="000000" w:themeColor="text1"/>
          <w:sz w:val="24"/>
        </w:rPr>
        <w:t>及时核对并以邮件或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0672D000" w14:textId="5507044D"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176844" w:rsidRPr="005F0ABA">
        <w:rPr>
          <w:rFonts w:ascii="宋体" w:hAnsi="宋体" w:cs="Arial" w:hint="eastAsia"/>
          <w:color w:val="000000" w:themeColor="text1"/>
          <w:sz w:val="24"/>
        </w:rPr>
        <w:t>六</w:t>
      </w:r>
      <w:r w:rsidRPr="005F0ABA">
        <w:rPr>
          <w:rFonts w:ascii="宋体" w:hAnsi="宋体" w:cs="Arial" w:hint="eastAsia"/>
          <w:color w:val="000000" w:themeColor="text1"/>
          <w:sz w:val="24"/>
        </w:rPr>
        <w:t>）基金管理人有义务配合和协助基金托管人依照法律法规、《基金合同》和本托管协议对基金业务执行核查。对基金托管人发出的书面提示，基金管理人应</w:t>
      </w:r>
      <w:r w:rsidRPr="005F0ABA">
        <w:rPr>
          <w:rFonts w:ascii="宋体" w:hAnsi="宋体" w:cs="Arial" w:hint="eastAsia"/>
          <w:color w:val="000000" w:themeColor="text1"/>
          <w:sz w:val="24"/>
        </w:rPr>
        <w:lastRenderedPageBreak/>
        <w:t>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7DA23BE8" w14:textId="580718EE"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176844" w:rsidRPr="005F0ABA">
        <w:rPr>
          <w:rFonts w:ascii="宋体" w:hAnsi="宋体" w:cs="Arial" w:hint="eastAsia"/>
          <w:color w:val="000000" w:themeColor="text1"/>
          <w:sz w:val="24"/>
        </w:rPr>
        <w:t>七</w:t>
      </w:r>
      <w:r w:rsidRPr="005F0ABA">
        <w:rPr>
          <w:rFonts w:ascii="宋体" w:hAnsi="宋体" w:cs="Arial" w:hint="eastAsia"/>
          <w:color w:val="000000" w:themeColor="text1"/>
          <w:sz w:val="24"/>
        </w:rPr>
        <w:t>）</w:t>
      </w:r>
      <w:proofErr w:type="gramStart"/>
      <w:r w:rsidRPr="005F0ABA">
        <w:rPr>
          <w:rFonts w:ascii="宋体" w:hAnsi="宋体" w:cs="Arial" w:hint="eastAsia"/>
          <w:color w:val="000000" w:themeColor="text1"/>
          <w:sz w:val="24"/>
        </w:rPr>
        <w:t>若基金</w:t>
      </w:r>
      <w:proofErr w:type="gramEnd"/>
      <w:r w:rsidRPr="005F0ABA">
        <w:rPr>
          <w:rFonts w:ascii="宋体" w:hAnsi="宋体" w:cs="Arial" w:hint="eastAsia"/>
          <w:color w:val="000000" w:themeColor="text1"/>
          <w:sz w:val="24"/>
        </w:rPr>
        <w:t>托管人发现基金管理人依据交易程序已经生效的指令违反法律、行政法规和其他有关规定，或者违反《基金合同》约定的，应当立即通知基金管理人，由此造成的损失由基金管理人承担。</w:t>
      </w:r>
    </w:p>
    <w:p w14:paraId="53E11E0E" w14:textId="6A43148E"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176844" w:rsidRPr="005F0ABA">
        <w:rPr>
          <w:rFonts w:ascii="宋体" w:hAnsi="宋体" w:cs="Arial" w:hint="eastAsia"/>
          <w:color w:val="000000" w:themeColor="text1"/>
          <w:sz w:val="24"/>
        </w:rPr>
        <w:t>八</w:t>
      </w:r>
      <w:r w:rsidRPr="005F0ABA">
        <w:rPr>
          <w:rFonts w:ascii="宋体" w:hAnsi="宋体" w:cs="Arial" w:hint="eastAsia"/>
          <w:color w:val="000000" w:themeColor="text1"/>
          <w:sz w:val="24"/>
        </w:rPr>
        <w:t>）基金托管人发现基金管理人有重大违规行为，应及时报告中国证监会，同时通知基金管理人限期纠正，并将纠正结果报告中国证监会。基金管理人无正当理由，拒绝、阻挠对方根据本托管协议规定行使监督权，或采取拖延、欺诈等手段妨碍对方进行有效监督，情节严重或经基金托管人提出警告仍不改正的，基金托管人应报告中国证监会。</w:t>
      </w:r>
    </w:p>
    <w:p w14:paraId="7E4AD2C7" w14:textId="77777777" w:rsidR="003E6A3F" w:rsidRPr="005F0ABA" w:rsidRDefault="003E6A3F">
      <w:pPr>
        <w:spacing w:line="360" w:lineRule="auto"/>
        <w:rPr>
          <w:rFonts w:ascii="宋体" w:hAnsi="宋体"/>
          <w:color w:val="000000" w:themeColor="text1"/>
          <w:sz w:val="24"/>
        </w:rPr>
      </w:pPr>
    </w:p>
    <w:p w14:paraId="17851861"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8" w:name="_Toc108512358"/>
      <w:bookmarkStart w:id="9" w:name="_Toc118212950"/>
      <w:bookmarkStart w:id="10" w:name="_Toc89163368"/>
      <w:bookmarkStart w:id="11" w:name="_Toc86727355"/>
      <w:bookmarkStart w:id="12" w:name="_Toc118972648"/>
      <w:bookmarkStart w:id="13" w:name="_Toc110761796"/>
      <w:bookmarkStart w:id="14" w:name="_Toc86726439"/>
      <w:bookmarkStart w:id="15" w:name="_Toc86225291"/>
      <w:bookmarkStart w:id="16" w:name="_Toc86737929"/>
      <w:bookmarkStart w:id="17" w:name="_Toc124325888"/>
      <w:bookmarkStart w:id="18" w:name="_Toc118774803"/>
      <w:bookmarkStart w:id="19" w:name="_Toc110830492"/>
      <w:bookmarkStart w:id="20" w:name="_Toc110765660"/>
      <w:bookmarkStart w:id="21" w:name="_Toc86649722"/>
      <w:bookmarkStart w:id="22" w:name="_Toc86223242"/>
      <w:bookmarkStart w:id="23" w:name="_Toc120435783"/>
      <w:bookmarkStart w:id="24" w:name="_Toc119402710"/>
      <w:r w:rsidRPr="005F0ABA">
        <w:rPr>
          <w:rFonts w:ascii="宋体" w:eastAsia="宋体" w:hAnsi="宋体" w:hint="eastAsia"/>
          <w:color w:val="000000" w:themeColor="text1"/>
          <w:sz w:val="30"/>
        </w:rPr>
        <w:t>四、基金管理人对基金托管人的业务核查</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6804ECEB"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（一）基金管理人对基金托管人履行托管职责情况进行核查，核查事项包括基金托管人安全保管基金财产、开设基金财产的资金账户和证券账户</w:t>
      </w:r>
      <w:r w:rsidRPr="005F0ABA">
        <w:rPr>
          <w:rFonts w:ascii="宋体" w:hAnsi="宋体" w:cs="Arial" w:hint="eastAsia"/>
          <w:bCs/>
          <w:color w:val="000000" w:themeColor="text1"/>
          <w:sz w:val="24"/>
        </w:rPr>
        <w:t>等投资所需账户</w:t>
      </w:r>
      <w:r w:rsidRPr="005F0ABA">
        <w:rPr>
          <w:rFonts w:ascii="宋体" w:hAnsi="宋体" w:cs="Arial" w:hint="eastAsia"/>
          <w:color w:val="000000" w:themeColor="text1"/>
          <w:sz w:val="24"/>
        </w:rPr>
        <w:t>、复核基金管理人计算的基金资产净值和各类别基金份额净值、根据基金管理人指令办理清算交收、相关信息披露和监督基金投资运作等行为。</w:t>
      </w:r>
    </w:p>
    <w:p w14:paraId="0551C6EF"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二）基金管理人发现基金托管人擅自挪用基金财产、未对基金财产实行分账管理、未执行或无故延迟执行基金管理人资金划拨指令、泄露基金投资信息等违反《基金法》、《基金合同》、本协议及其他有关规定时，应及时以电话或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sidRPr="005F0ABA">
        <w:rPr>
          <w:rFonts w:ascii="宋体" w:hAnsi="宋体" w:cs="Arial" w:hint="eastAsia"/>
          <w:color w:val="000000" w:themeColor="text1"/>
          <w:sz w:val="24"/>
        </w:rPr>
        <w:t>供基金</w:t>
      </w:r>
      <w:proofErr w:type="gramEnd"/>
      <w:r w:rsidRPr="005F0ABA">
        <w:rPr>
          <w:rFonts w:ascii="宋体" w:hAnsi="宋体" w:cs="Arial" w:hint="eastAsia"/>
          <w:color w:val="000000" w:themeColor="text1"/>
          <w:sz w:val="24"/>
        </w:rPr>
        <w:t>管理人核查托管财产的完整性和真实性，在规定时间内答复基金管理人并改正。</w:t>
      </w:r>
    </w:p>
    <w:p w14:paraId="2D496617"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三）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w:t>
      </w:r>
      <w:r w:rsidRPr="005F0ABA">
        <w:rPr>
          <w:rFonts w:ascii="宋体" w:hAnsi="宋体" w:cs="Arial" w:hint="eastAsia"/>
          <w:color w:val="000000" w:themeColor="text1"/>
          <w:sz w:val="24"/>
        </w:rPr>
        <w:lastRenderedPageBreak/>
        <w:t>对方进行有效监督，情节严重或经基金管理人提出警告仍不改正的，基金管理人应报告中国证监会。</w:t>
      </w:r>
    </w:p>
    <w:p w14:paraId="73DE3AB9" w14:textId="77777777" w:rsidR="003E6A3F" w:rsidRPr="005F0ABA" w:rsidRDefault="003E6A3F">
      <w:pPr>
        <w:spacing w:line="360" w:lineRule="auto"/>
        <w:rPr>
          <w:rFonts w:ascii="宋体" w:hAnsi="宋体"/>
          <w:color w:val="000000" w:themeColor="text1"/>
          <w:sz w:val="24"/>
        </w:rPr>
      </w:pPr>
    </w:p>
    <w:p w14:paraId="2F7FB827"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25" w:name="_Toc120435784"/>
      <w:bookmarkStart w:id="26" w:name="_Toc119402711"/>
      <w:bookmarkStart w:id="27" w:name="_Toc118774804"/>
      <w:bookmarkStart w:id="28" w:name="_Toc118972649"/>
      <w:bookmarkStart w:id="29" w:name="_Toc89163369"/>
      <w:bookmarkStart w:id="30" w:name="_Toc86737930"/>
      <w:bookmarkStart w:id="31" w:name="_Toc124325889"/>
      <w:bookmarkStart w:id="32" w:name="_Toc86727356"/>
      <w:bookmarkStart w:id="33" w:name="_Toc110830493"/>
      <w:bookmarkStart w:id="34" w:name="_Toc86204789"/>
      <w:bookmarkStart w:id="35" w:name="_Toc84234435"/>
      <w:bookmarkStart w:id="36" w:name="_Toc86225292"/>
      <w:bookmarkStart w:id="37" w:name="_Toc118212951"/>
      <w:bookmarkStart w:id="38" w:name="_Toc110761797"/>
      <w:bookmarkStart w:id="39" w:name="_Toc110765661"/>
      <w:bookmarkStart w:id="40" w:name="_Toc108512359"/>
      <w:bookmarkStart w:id="41" w:name="_Toc86726440"/>
      <w:bookmarkStart w:id="42" w:name="_Toc84234388"/>
      <w:bookmarkStart w:id="43" w:name="_Toc86649723"/>
      <w:bookmarkStart w:id="44" w:name="_Toc84133786"/>
      <w:bookmarkStart w:id="45" w:name="_Toc86223243"/>
      <w:r w:rsidRPr="005F0ABA">
        <w:rPr>
          <w:rFonts w:ascii="宋体" w:eastAsia="宋体" w:hAnsi="宋体" w:hint="eastAsia"/>
          <w:color w:val="000000" w:themeColor="text1"/>
          <w:sz w:val="30"/>
        </w:rPr>
        <w:t>五、基金财产的保管</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51C88E34"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（一）基金财产保管的原则</w:t>
      </w:r>
    </w:p>
    <w:p w14:paraId="16043929"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1.基金财产应独立于基金管理人、基金托管人的固有财产。</w:t>
      </w:r>
    </w:p>
    <w:p w14:paraId="3B118C52"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2.基金托管人应安全保管基金财产。</w:t>
      </w:r>
    </w:p>
    <w:p w14:paraId="2B4108FF"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3.基金托管人按照规定开设基金财产的资金账户和证券账户</w:t>
      </w:r>
      <w:r w:rsidRPr="005F0ABA">
        <w:rPr>
          <w:rFonts w:ascii="宋体" w:hAnsi="宋体" w:cs="Arial" w:hint="eastAsia"/>
          <w:bCs/>
          <w:color w:val="000000" w:themeColor="text1"/>
          <w:sz w:val="24"/>
        </w:rPr>
        <w:t>等投资所需账户</w:t>
      </w:r>
      <w:r w:rsidRPr="005F0ABA">
        <w:rPr>
          <w:rFonts w:ascii="宋体" w:hAnsi="宋体" w:cs="Arial"/>
          <w:color w:val="000000" w:themeColor="text1"/>
          <w:sz w:val="24"/>
        </w:rPr>
        <w:t>。</w:t>
      </w:r>
    </w:p>
    <w:p w14:paraId="7F17D39D"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4.基金托管人对所托管的不同基金财产分别设置账户，确保基金财产的完整与独立。</w:t>
      </w:r>
    </w:p>
    <w:p w14:paraId="501E2B3D"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5.基金托管人按照《基金合同》和本协议的约定保管基金财产，如有特殊情况双方可另行协商解决。基金</w:t>
      </w:r>
      <w:r w:rsidRPr="005F0ABA">
        <w:rPr>
          <w:rFonts w:ascii="宋体" w:hAnsi="宋体" w:hint="eastAsia"/>
          <w:color w:val="000000" w:themeColor="text1"/>
          <w:sz w:val="24"/>
        </w:rPr>
        <w:t>托管人未经基金管理人的指令，不得自行运用、处分、分配本基金的任何资产（不包含基金托管人依据中国证券登记结算有限责任公司结算数据完成场内交易交收、开户银行或交易</w:t>
      </w:r>
      <w:r w:rsidRPr="005F0ABA">
        <w:rPr>
          <w:rFonts w:ascii="宋体" w:hAnsi="宋体"/>
          <w:color w:val="000000" w:themeColor="text1"/>
          <w:sz w:val="24"/>
        </w:rPr>
        <w:t>/登记结算机构扣</w:t>
      </w:r>
      <w:proofErr w:type="gramStart"/>
      <w:r w:rsidRPr="005F0ABA">
        <w:rPr>
          <w:rFonts w:ascii="宋体" w:hAnsi="宋体"/>
          <w:color w:val="000000" w:themeColor="text1"/>
          <w:sz w:val="24"/>
        </w:rPr>
        <w:t>收交易</w:t>
      </w:r>
      <w:proofErr w:type="gramEnd"/>
      <w:r w:rsidRPr="005F0ABA">
        <w:rPr>
          <w:rFonts w:ascii="宋体" w:hAnsi="宋体"/>
          <w:color w:val="000000" w:themeColor="text1"/>
          <w:sz w:val="24"/>
        </w:rPr>
        <w:t>费、结算费和账户维护费等费用）。</w:t>
      </w:r>
    </w:p>
    <w:p w14:paraId="306DB115"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w:t>
      </w:r>
      <w:r w:rsidRPr="005F0ABA">
        <w:rPr>
          <w:rFonts w:ascii="宋体" w:hAnsi="宋体" w:cs="Arial" w:hint="eastAsia"/>
          <w:color w:val="000000" w:themeColor="text1"/>
          <w:sz w:val="24"/>
        </w:rPr>
        <w:t>基金托管人对此不承担任何责任，但基金托管人应予以必要的协助与配合。</w:t>
      </w:r>
    </w:p>
    <w:p w14:paraId="7B2F3802"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7.除依据法律法规和《基金合同》的规定外，基金托管人不得委托第三人托管基金财产。</w:t>
      </w:r>
    </w:p>
    <w:p w14:paraId="5D84AC92"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（二）基金募集期间及募集资金的验资</w:t>
      </w:r>
    </w:p>
    <w:p w14:paraId="45DD4304"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1.基金募集期间募集的资金应存于基金管理人</w:t>
      </w:r>
      <w:r w:rsidRPr="005F0ABA">
        <w:rPr>
          <w:rFonts w:ascii="宋体" w:hAnsi="宋体" w:cs="Arial" w:hint="eastAsia"/>
          <w:color w:val="000000" w:themeColor="text1"/>
          <w:sz w:val="24"/>
        </w:rPr>
        <w:t>在基金托管人的营业机构开立的“基金募集专户”。该账户由基金管理人开立并管理。</w:t>
      </w:r>
    </w:p>
    <w:p w14:paraId="2176C2D3" w14:textId="7C7421FD"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2.基金募集期满或基金停止募集时，募集的基金份额总额、基金募集金额、基金份额持有人人数符合《基金法》、《运作办法》等有关规定后，基金管理人应将属于基金财产的全部资金划入基金托管人开立的基金</w:t>
      </w:r>
      <w:r w:rsidRPr="005F0ABA">
        <w:rPr>
          <w:rFonts w:ascii="宋体" w:hAnsi="宋体" w:cs="Arial" w:hint="eastAsia"/>
          <w:color w:val="000000" w:themeColor="text1"/>
          <w:sz w:val="24"/>
        </w:rPr>
        <w:t>托管资金</w:t>
      </w:r>
      <w:r w:rsidRPr="005F0ABA">
        <w:rPr>
          <w:rFonts w:ascii="宋体" w:hAnsi="宋体" w:cs="Arial"/>
          <w:color w:val="000000" w:themeColor="text1"/>
          <w:sz w:val="24"/>
        </w:rPr>
        <w:t>账户，同时在规定时间内，聘请</w:t>
      </w:r>
      <w:r w:rsidRPr="005F0ABA">
        <w:rPr>
          <w:rFonts w:ascii="宋体" w:hAnsi="宋体" w:cs="Arial" w:hint="eastAsia"/>
          <w:color w:val="000000" w:themeColor="text1"/>
          <w:sz w:val="24"/>
        </w:rPr>
        <w:t>符合《中华人民共和国证券法》规定的会计师事务所进行验资，出具验</w:t>
      </w:r>
      <w:r w:rsidRPr="005F0ABA">
        <w:rPr>
          <w:rFonts w:ascii="宋体" w:hAnsi="宋体" w:cs="Arial" w:hint="eastAsia"/>
          <w:color w:val="000000" w:themeColor="text1"/>
          <w:sz w:val="24"/>
        </w:rPr>
        <w:lastRenderedPageBreak/>
        <w:t>资报告。出具的验资报告由参加验资的</w:t>
      </w:r>
      <w:r w:rsidRPr="005F0ABA">
        <w:rPr>
          <w:rFonts w:ascii="宋体" w:hAnsi="宋体" w:cs="Arial"/>
          <w:color w:val="000000" w:themeColor="text1"/>
          <w:sz w:val="24"/>
        </w:rPr>
        <w:t>2名或2名以上中国注册会计师签字方为有效。</w:t>
      </w:r>
    </w:p>
    <w:p w14:paraId="416AED2B"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3.</w:t>
      </w:r>
      <w:proofErr w:type="gramStart"/>
      <w:r w:rsidRPr="005F0ABA">
        <w:rPr>
          <w:rFonts w:ascii="宋体" w:hAnsi="宋体" w:cs="Arial"/>
          <w:color w:val="000000" w:themeColor="text1"/>
          <w:sz w:val="24"/>
        </w:rPr>
        <w:t>若基金</w:t>
      </w:r>
      <w:proofErr w:type="gramEnd"/>
      <w:r w:rsidRPr="005F0ABA">
        <w:rPr>
          <w:rFonts w:ascii="宋体" w:hAnsi="宋体" w:cs="Arial"/>
          <w:color w:val="000000" w:themeColor="text1"/>
          <w:sz w:val="24"/>
        </w:rPr>
        <w:t>募集期限届满，未能达到《基金合同》生效的条件，由基金管理人按</w:t>
      </w:r>
      <w:r w:rsidRPr="005F0ABA">
        <w:rPr>
          <w:rFonts w:ascii="宋体" w:hAnsi="宋体" w:cs="Arial" w:hint="eastAsia"/>
          <w:color w:val="000000" w:themeColor="text1"/>
          <w:sz w:val="24"/>
        </w:rPr>
        <w:t>规定办理退款等事宜</w:t>
      </w:r>
      <w:r w:rsidRPr="005F0ABA">
        <w:rPr>
          <w:rFonts w:ascii="宋体" w:hAnsi="宋体" w:cs="Arial"/>
          <w:color w:val="000000" w:themeColor="text1"/>
          <w:sz w:val="24"/>
        </w:rPr>
        <w:t>，基金托管人应给予必要的协助与配合</w:t>
      </w:r>
      <w:r w:rsidRPr="005F0ABA">
        <w:rPr>
          <w:rFonts w:ascii="宋体" w:hAnsi="宋体" w:cs="Arial" w:hint="eastAsia"/>
          <w:color w:val="000000" w:themeColor="text1"/>
          <w:sz w:val="24"/>
        </w:rPr>
        <w:t>。</w:t>
      </w:r>
    </w:p>
    <w:p w14:paraId="6D0ACD3D" w14:textId="0E48E026"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（三）基金托管资金账户的开立和管理</w:t>
      </w:r>
    </w:p>
    <w:p w14:paraId="427A8B54" w14:textId="75281CC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1.基金托管人可以基金的名义在其营业机构开立基金的</w:t>
      </w:r>
      <w:r w:rsidRPr="005F0ABA">
        <w:rPr>
          <w:rFonts w:ascii="宋体" w:hAnsi="宋体" w:cs="Arial" w:hint="eastAsia"/>
          <w:color w:val="000000" w:themeColor="text1"/>
          <w:sz w:val="24"/>
        </w:rPr>
        <w:t>托管资金</w:t>
      </w:r>
      <w:r w:rsidRPr="005F0ABA">
        <w:rPr>
          <w:rFonts w:ascii="宋体" w:hAnsi="宋体" w:cs="Arial"/>
          <w:color w:val="000000" w:themeColor="text1"/>
          <w:sz w:val="24"/>
        </w:rPr>
        <w:t>账户，并根据基金管理人合法合</w:t>
      </w:r>
      <w:proofErr w:type="gramStart"/>
      <w:r w:rsidRPr="005F0ABA">
        <w:rPr>
          <w:rFonts w:ascii="宋体" w:hAnsi="宋体" w:cs="Arial"/>
          <w:color w:val="000000" w:themeColor="text1"/>
          <w:sz w:val="24"/>
        </w:rPr>
        <w:t>规</w:t>
      </w:r>
      <w:proofErr w:type="gramEnd"/>
      <w:r w:rsidRPr="005F0ABA">
        <w:rPr>
          <w:rFonts w:ascii="宋体" w:hAnsi="宋体" w:cs="Arial"/>
          <w:color w:val="000000" w:themeColor="text1"/>
          <w:sz w:val="24"/>
        </w:rPr>
        <w:t>的指令办理资金收付。</w:t>
      </w:r>
      <w:r w:rsidR="00E5336F" w:rsidRPr="005F0ABA">
        <w:rPr>
          <w:rFonts w:ascii="宋体" w:hAnsi="宋体" w:cs="Arial" w:hint="eastAsia"/>
          <w:color w:val="000000" w:themeColor="text1"/>
          <w:sz w:val="24"/>
        </w:rPr>
        <w:t>户名原则上应当包含开户主体和产品名称字样。如法律法规或监管部门另有规定的，从其规定。</w:t>
      </w:r>
      <w:r w:rsidRPr="005F0ABA">
        <w:rPr>
          <w:rFonts w:ascii="宋体" w:hAnsi="宋体" w:cs="Arial"/>
          <w:color w:val="000000" w:themeColor="text1"/>
          <w:sz w:val="24"/>
        </w:rPr>
        <w:t>本基金的银行预留印鉴由基金托管人保管和使用。</w:t>
      </w:r>
    </w:p>
    <w:p w14:paraId="171986E7" w14:textId="4FC6B38D"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2.基金</w:t>
      </w:r>
      <w:r w:rsidRPr="005F0ABA">
        <w:rPr>
          <w:rFonts w:ascii="宋体" w:hAnsi="宋体" w:cs="Arial" w:hint="eastAsia"/>
          <w:color w:val="000000" w:themeColor="text1"/>
          <w:sz w:val="24"/>
        </w:rPr>
        <w:t>托管资金</w:t>
      </w:r>
      <w:r w:rsidRPr="005F0ABA">
        <w:rPr>
          <w:rFonts w:ascii="宋体" w:hAnsi="宋体" w:cs="Arial"/>
          <w:color w:val="000000" w:themeColor="text1"/>
          <w:sz w:val="24"/>
        </w:rPr>
        <w:t>账户的开立和使用，限于满足开展本基金业务的需要。基金托管人和基金管理人不得假借本基金的名义开立任何其他银行账户；亦不得使用基金的任何账户进行本基金业务以外的活动。</w:t>
      </w:r>
    </w:p>
    <w:p w14:paraId="75985F61" w14:textId="14E31818"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3.基金</w:t>
      </w:r>
      <w:r w:rsidRPr="005F0ABA">
        <w:rPr>
          <w:rFonts w:ascii="宋体" w:hAnsi="宋体" w:cs="Arial" w:hint="eastAsia"/>
          <w:color w:val="000000" w:themeColor="text1"/>
          <w:sz w:val="24"/>
        </w:rPr>
        <w:t>托管资金</w:t>
      </w:r>
      <w:r w:rsidRPr="005F0ABA">
        <w:rPr>
          <w:rFonts w:ascii="宋体" w:hAnsi="宋体" w:cs="Arial"/>
          <w:color w:val="000000" w:themeColor="text1"/>
          <w:sz w:val="24"/>
        </w:rPr>
        <w:t>账户的开立和管理应符合银行业监督管理机构的有关规定。</w:t>
      </w:r>
    </w:p>
    <w:p w14:paraId="3C34B414"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4.在符合法律法规规定的条件下，基金托管人可以通过基金托管人专用账户办理基金资产的支付。</w:t>
      </w:r>
    </w:p>
    <w:p w14:paraId="4CED2A39" w14:textId="77777777" w:rsidR="003E6A3F" w:rsidRPr="005F0ABA" w:rsidRDefault="006E6B76">
      <w:pPr>
        <w:adjustRightInd w:val="0"/>
        <w:snapToGrid w:val="0"/>
        <w:spacing w:line="360" w:lineRule="auto"/>
        <w:ind w:firstLine="480"/>
        <w:rPr>
          <w:rFonts w:ascii="宋体" w:hAnsi="宋体"/>
          <w:color w:val="000000" w:themeColor="text1"/>
        </w:rPr>
      </w:pPr>
      <w:r w:rsidRPr="005F0ABA">
        <w:rPr>
          <w:rFonts w:ascii="宋体" w:hAnsi="宋体" w:cs="Arial" w:hint="eastAsia"/>
          <w:color w:val="000000" w:themeColor="text1"/>
          <w:sz w:val="24"/>
        </w:rPr>
        <w:t>5.基金管理人应于基金清算后及时完成收益兑付、费用结清及其他应收应付款项资金划转，在确保后续不再发生款项进出后的10个工作日内向基金托管人发出销户申请。</w:t>
      </w:r>
    </w:p>
    <w:p w14:paraId="4179A712"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（四）基金证券账户和结算备付金账户的开立和管理</w:t>
      </w:r>
    </w:p>
    <w:p w14:paraId="730B39A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1.基金托管人在中国证券登记结算有限责任公司为基金开立基金托管人与基金联名的证券账户。</w:t>
      </w:r>
    </w:p>
    <w:p w14:paraId="10AE920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14250DC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3.基金证券账户的开立和证券账户卡的保管由基金托管人负责，账户资产的管理和运用由基金管理人负责。</w:t>
      </w:r>
    </w:p>
    <w:p w14:paraId="6C8D7E93"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证券账户开户费由基金管理人先行垫付</w:t>
      </w:r>
      <w:r w:rsidRPr="005F0ABA">
        <w:rPr>
          <w:rFonts w:ascii="宋体" w:hAnsi="宋体" w:cs="Arial"/>
          <w:color w:val="000000" w:themeColor="text1"/>
          <w:sz w:val="24"/>
        </w:rPr>
        <w:t>,待托管产品启始运营后,基金管理人可向基金托管人发送划款指令,将代垫开户费从本基金托管资金账户中扣还基金管理人。</w:t>
      </w:r>
    </w:p>
    <w:p w14:paraId="0B3DC8F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4.基金托管人以基金托管人的名义在中国证券登记结算有限责任公司开立结</w:t>
      </w:r>
      <w:r w:rsidRPr="005F0ABA">
        <w:rPr>
          <w:rFonts w:ascii="宋体" w:hAnsi="宋体" w:cs="Arial"/>
          <w:color w:val="000000" w:themeColor="text1"/>
          <w:sz w:val="24"/>
        </w:rPr>
        <w:lastRenderedPageBreak/>
        <w:t>算备付金账户，并代表所托管的基金完成与中国证券登记结算有限责任公司的一级法人清算工作，基金管理人应予以积极协助。结算备付金、结算保证金、交</w:t>
      </w:r>
      <w:proofErr w:type="gramStart"/>
      <w:r w:rsidRPr="005F0ABA">
        <w:rPr>
          <w:rFonts w:ascii="宋体" w:hAnsi="宋体" w:cs="Arial"/>
          <w:color w:val="000000" w:themeColor="text1"/>
          <w:sz w:val="24"/>
        </w:rPr>
        <w:t>收资金</w:t>
      </w:r>
      <w:proofErr w:type="gramEnd"/>
      <w:r w:rsidRPr="005F0ABA">
        <w:rPr>
          <w:rFonts w:ascii="宋体" w:hAnsi="宋体" w:cs="Arial"/>
          <w:color w:val="000000" w:themeColor="text1"/>
          <w:sz w:val="24"/>
        </w:rPr>
        <w:t>等的收取按照中国证券登记结算有限责任公司的规定以及基金管理人与基金托管人签署的《托管银行证券资金结算协议》执行。</w:t>
      </w:r>
    </w:p>
    <w:p w14:paraId="5C534D1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5.账户注销时，由基金管理人依据中国证券登记结算公司相关规定，委托有交易关系的证券公司负责办理。销户完成后，基金管理人需将相关证明提供至基金托管人。账户注销期间如</w:t>
      </w:r>
      <w:proofErr w:type="gramStart"/>
      <w:r w:rsidRPr="005F0ABA">
        <w:rPr>
          <w:rFonts w:ascii="宋体" w:hAnsi="宋体" w:cs="Arial"/>
          <w:color w:val="000000" w:themeColor="text1"/>
          <w:sz w:val="24"/>
        </w:rPr>
        <w:t>需基金</w:t>
      </w:r>
      <w:proofErr w:type="gramEnd"/>
      <w:r w:rsidRPr="005F0ABA">
        <w:rPr>
          <w:rFonts w:ascii="宋体" w:hAnsi="宋体" w:cs="Arial"/>
          <w:color w:val="000000" w:themeColor="text1"/>
          <w:sz w:val="24"/>
        </w:rPr>
        <w:t>托管人提供配合的，基金托管人应予以配合。</w:t>
      </w:r>
    </w:p>
    <w:p w14:paraId="02C0A53A"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6.若中国证监会或其他监管机构在本托管协议订立日之后允许基金从事其他投资品种的投资业务，涉及相关账户的开立、使用的，若无相关规定，</w:t>
      </w:r>
      <w:proofErr w:type="gramStart"/>
      <w:r w:rsidRPr="005F0ABA">
        <w:rPr>
          <w:rFonts w:ascii="宋体" w:hAnsi="宋体" w:cs="Arial"/>
          <w:color w:val="000000" w:themeColor="text1"/>
          <w:sz w:val="24"/>
        </w:rPr>
        <w:t>则基金</w:t>
      </w:r>
      <w:proofErr w:type="gramEnd"/>
      <w:r w:rsidRPr="005F0ABA">
        <w:rPr>
          <w:rFonts w:ascii="宋体" w:hAnsi="宋体" w:cs="Arial"/>
          <w:color w:val="000000" w:themeColor="text1"/>
          <w:sz w:val="24"/>
        </w:rPr>
        <w:t>托管人比照上述关于账户开立、使用的规定执行。</w:t>
      </w:r>
    </w:p>
    <w:p w14:paraId="338F54F3" w14:textId="67200B76"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（五）银行间账户的开设和管理</w:t>
      </w:r>
    </w:p>
    <w:p w14:paraId="40C7DBAC" w14:textId="6A34C43E"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专户，并代表基金进行银行间市场债券的结算。</w:t>
      </w:r>
    </w:p>
    <w:p w14:paraId="464C67F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（六）其他账户的开立和管理</w:t>
      </w:r>
    </w:p>
    <w:p w14:paraId="7C3D3AC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1.在本托管协议订立日之后，本基金被允许从事符合法律法规规定和《基金合同》约定的其他投资品种的投资业务时，如果涉及相关账户的开设和使用，由基金管理人协助</w:t>
      </w:r>
      <w:r w:rsidRPr="005F0ABA">
        <w:rPr>
          <w:rFonts w:ascii="宋体" w:hAnsi="宋体" w:cs="Arial" w:hint="eastAsia"/>
          <w:color w:val="000000" w:themeColor="text1"/>
          <w:sz w:val="24"/>
        </w:rPr>
        <w:t>基金托管人根据有关法律法规的规定和《基金合同》的约定，开立有关账户。该账户按有关规则使用并管理。</w:t>
      </w:r>
    </w:p>
    <w:p w14:paraId="5404F282"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2.法律法规等有关规定对相关账户的开立和管理另有规定的，从其规定办理。</w:t>
      </w:r>
    </w:p>
    <w:p w14:paraId="5CD835C6"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（七）基金财产投资的有关有价凭证等的保管</w:t>
      </w:r>
    </w:p>
    <w:p w14:paraId="6D93D0E2" w14:textId="172C8B35" w:rsidR="003E6A3F" w:rsidRPr="005F0ABA" w:rsidRDefault="006E6B76">
      <w:pPr>
        <w:adjustRightInd w:val="0"/>
        <w:snapToGrid w:val="0"/>
        <w:spacing w:line="360" w:lineRule="auto"/>
        <w:ind w:firstLineChars="200" w:firstLine="480"/>
        <w:rPr>
          <w:rFonts w:ascii="宋体" w:hAnsi="宋体" w:cs="Arial"/>
          <w:color w:val="000000" w:themeColor="text1"/>
        </w:rPr>
      </w:pPr>
      <w:r w:rsidRPr="005F0ABA">
        <w:rPr>
          <w:rFonts w:ascii="宋体" w:hAnsi="宋体" w:cs="Arial" w:hint="eastAsia"/>
          <w:color w:val="000000" w:themeColor="text1"/>
          <w:sz w:val="24"/>
        </w:rPr>
        <w:t>基金财产投资的有关实物证券、银行</w:t>
      </w:r>
      <w:r w:rsidRPr="005F0ABA">
        <w:rPr>
          <w:rFonts w:ascii="宋体" w:hAnsi="宋体" w:hint="eastAsia"/>
          <w:color w:val="000000" w:themeColor="text1"/>
          <w:sz w:val="24"/>
        </w:rPr>
        <w:t>存款开户证实书</w:t>
      </w:r>
      <w:r w:rsidRPr="005F0ABA">
        <w:rPr>
          <w:rFonts w:ascii="宋体" w:hAnsi="宋体" w:cs="Arial" w:hint="eastAsia"/>
          <w:color w:val="000000" w:themeColor="text1"/>
          <w:sz w:val="24"/>
        </w:rPr>
        <w:t>等有价凭证由基金托管人存放于基金托管人的保管库，也可存入法律法规有关规定允许的</w:t>
      </w:r>
      <w:proofErr w:type="gramStart"/>
      <w:r w:rsidRPr="005F0ABA">
        <w:rPr>
          <w:rFonts w:ascii="宋体" w:hAnsi="宋体" w:cs="Arial" w:hint="eastAsia"/>
          <w:color w:val="000000" w:themeColor="text1"/>
          <w:sz w:val="24"/>
        </w:rPr>
        <w:t>各类代保管</w:t>
      </w:r>
      <w:proofErr w:type="gramEnd"/>
      <w:r w:rsidRPr="005F0ABA">
        <w:rPr>
          <w:rFonts w:ascii="宋体" w:hAnsi="宋体" w:cs="Arial" w:hint="eastAsia"/>
          <w:color w:val="000000" w:themeColor="text1"/>
          <w:sz w:val="24"/>
        </w:rPr>
        <w:t>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14:paraId="45B7E5D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（八）与基金财产有关的重大合同的保管</w:t>
      </w:r>
    </w:p>
    <w:p w14:paraId="3AFA30B1" w14:textId="7075B4E1" w:rsidR="003E6A3F" w:rsidRPr="005F0ABA" w:rsidRDefault="006E6B76">
      <w:pPr>
        <w:adjustRightInd w:val="0"/>
        <w:snapToGrid w:val="0"/>
        <w:spacing w:line="360" w:lineRule="auto"/>
        <w:ind w:firstLineChars="200" w:firstLine="480"/>
        <w:rPr>
          <w:rFonts w:ascii="宋体" w:hAnsi="宋体"/>
          <w:color w:val="000000" w:themeColor="text1"/>
          <w:sz w:val="30"/>
          <w:szCs w:val="30"/>
        </w:rPr>
      </w:pPr>
      <w:r w:rsidRPr="005F0ABA">
        <w:rPr>
          <w:rFonts w:ascii="宋体" w:hAnsi="宋体" w:cs="Arial" w:hint="eastAsia"/>
          <w:color w:val="000000" w:themeColor="text1"/>
          <w:sz w:val="24"/>
        </w:rPr>
        <w:t>与基金财产有关的重大合同的签署，由基金管理人负责。由基金管理人代表基金签署的、与基金财产有关的重大合同的原件分别由基金管理人、基金托管人保管。</w:t>
      </w:r>
      <w:r w:rsidRPr="005F0ABA">
        <w:rPr>
          <w:rFonts w:ascii="宋体" w:hAnsi="宋体" w:cs="Arial" w:hint="eastAsia"/>
          <w:color w:val="000000" w:themeColor="text1"/>
          <w:sz w:val="24"/>
        </w:rPr>
        <w:lastRenderedPageBreak/>
        <w:t>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以加密方式将重大合同传真给基金托管人，并在三十个工作日内将正本送达基金托管人处。重大合同的保管期限</w:t>
      </w:r>
      <w:r w:rsidR="00E5336F" w:rsidRPr="005F0ABA">
        <w:rPr>
          <w:rFonts w:ascii="宋体" w:hAnsi="宋体" w:cs="Arial" w:hint="eastAsia"/>
          <w:color w:val="000000" w:themeColor="text1"/>
          <w:sz w:val="24"/>
        </w:rPr>
        <w:t>按照法律法规的规定执行</w:t>
      </w:r>
      <w:r w:rsidRPr="005F0ABA">
        <w:rPr>
          <w:rFonts w:ascii="宋体" w:hAnsi="宋体" w:cs="Arial" w:hint="eastAsia"/>
          <w:color w:val="000000" w:themeColor="text1"/>
          <w:sz w:val="24"/>
        </w:rPr>
        <w:t>。</w:t>
      </w:r>
    </w:p>
    <w:p w14:paraId="2B2AD53D" w14:textId="77777777" w:rsidR="003E6A3F" w:rsidRPr="005F0ABA" w:rsidRDefault="003E6A3F">
      <w:pPr>
        <w:spacing w:line="360" w:lineRule="auto"/>
        <w:rPr>
          <w:rFonts w:ascii="宋体" w:hAnsi="宋体"/>
          <w:color w:val="000000" w:themeColor="text1"/>
          <w:sz w:val="24"/>
        </w:rPr>
      </w:pPr>
    </w:p>
    <w:p w14:paraId="25433DF5"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46" w:name="_Toc118212952"/>
      <w:bookmarkStart w:id="47" w:name="_Toc108512360"/>
      <w:bookmarkStart w:id="48" w:name="_Toc86223244"/>
      <w:bookmarkStart w:id="49" w:name="_Toc110761798"/>
      <w:bookmarkStart w:id="50" w:name="_Toc118774805"/>
      <w:bookmarkStart w:id="51" w:name="_Toc86726441"/>
      <w:bookmarkStart w:id="52" w:name="_Toc86649724"/>
      <w:bookmarkStart w:id="53" w:name="_Toc119402712"/>
      <w:bookmarkStart w:id="54" w:name="_Toc84133787"/>
      <w:bookmarkStart w:id="55" w:name="_Toc89163370"/>
      <w:bookmarkStart w:id="56" w:name="_Toc86737931"/>
      <w:bookmarkStart w:id="57" w:name="_Toc84234436"/>
      <w:bookmarkStart w:id="58" w:name="_Toc110765662"/>
      <w:bookmarkStart w:id="59" w:name="_Toc120435785"/>
      <w:bookmarkStart w:id="60" w:name="_Toc86727357"/>
      <w:bookmarkStart w:id="61" w:name="_Toc86204790"/>
      <w:bookmarkStart w:id="62" w:name="_Toc84234389"/>
      <w:bookmarkStart w:id="63" w:name="_Toc118972650"/>
      <w:bookmarkStart w:id="64" w:name="_Toc86225293"/>
      <w:bookmarkStart w:id="65" w:name="_Toc124325890"/>
      <w:bookmarkStart w:id="66" w:name="_Toc110830494"/>
      <w:r w:rsidRPr="005F0ABA">
        <w:rPr>
          <w:rFonts w:ascii="宋体" w:eastAsia="宋体" w:hAnsi="宋体" w:hint="eastAsia"/>
          <w:color w:val="000000" w:themeColor="text1"/>
          <w:sz w:val="30"/>
        </w:rPr>
        <w:t>六、指令的发送、确认及执行</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1FACADB5"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基金管理人在运用基金财产时向基金托管人发送资金划拨及其他款项付款指令，基金托管人执行基金管理人的指令、办理基金名下的资金往来等有关事项。</w:t>
      </w:r>
    </w:p>
    <w:p w14:paraId="3E90BA17"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（一）基金管理人对发送指令人员的书面授权</w:t>
      </w:r>
    </w:p>
    <w:p w14:paraId="387DBFB1" w14:textId="6EA91A97" w:rsidR="009574B0" w:rsidRPr="005F0ABA" w:rsidRDefault="009574B0" w:rsidP="009574B0">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本协议签署生效后，基金管理人应向基金托管人提供授权代表签字与印鉴样本通知书（以下简称“授权文件”），内容包括被授权人名单、预留印鉴及被授权人签字样本，授权文件应注明被授权人相应的权限，授权文件应加盖单位公章。</w:t>
      </w:r>
    </w:p>
    <w:p w14:paraId="4B2FAC49" w14:textId="77777777" w:rsidR="009574B0" w:rsidRPr="005F0ABA" w:rsidRDefault="009574B0" w:rsidP="009574B0">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管理人应将“授权文件”原件在生效前寄送基金托管人，基金托管人在收到授权文件原件并经与基金管理人确认后，授权文件即生效。如果授权文件中载明具体生效时间的，该生效时间不得早于基金托管人收到授权文件并经确认的时点。如早于，则以基金托管人收到授权文件并经确认的时点为授权文件的生效时间。</w:t>
      </w:r>
    </w:p>
    <w:p w14:paraId="7EF15531" w14:textId="77777777" w:rsidR="009574B0" w:rsidRPr="005F0ABA" w:rsidRDefault="009574B0" w:rsidP="009574B0">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特殊情况下，经基金托管人同意，基金管理人可至少提前一个工作日将授权文件以邮件发送扫描件的方式先行通知基金托管人并确认生效。授权文件原件应在邮件发送后7个工作日内送达基金托管人。授权文件生效之后，原件送达之前，基金托管人按照新授权文件扫描</w:t>
      </w:r>
      <w:proofErr w:type="gramStart"/>
      <w:r w:rsidRPr="005F0ABA">
        <w:rPr>
          <w:rFonts w:ascii="宋体" w:hAnsi="宋体" w:cs="Arial" w:hint="eastAsia"/>
          <w:color w:val="000000" w:themeColor="text1"/>
          <w:sz w:val="24"/>
        </w:rPr>
        <w:t>件内容</w:t>
      </w:r>
      <w:proofErr w:type="gramEnd"/>
      <w:r w:rsidRPr="005F0ABA">
        <w:rPr>
          <w:rFonts w:ascii="宋体" w:hAnsi="宋体" w:cs="Arial" w:hint="eastAsia"/>
          <w:color w:val="000000" w:themeColor="text1"/>
          <w:sz w:val="24"/>
        </w:rPr>
        <w:t>执行有关业务，如果授权文件原件与基金托管人收到的扫描件不同，由此产生的责任由基金管理人承担。</w:t>
      </w:r>
    </w:p>
    <w:p w14:paraId="0B5E2F7E" w14:textId="77777777" w:rsidR="009574B0" w:rsidRPr="005F0ABA" w:rsidRDefault="009574B0" w:rsidP="009574B0">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基金管理人更换被授权人、更改或终止对被授权人的授权、变更预留印鉴应按上述要求提供新的授权文件。在授权变更生效前，基金托管人仍应按原授权文件执行指令，基金管理人不得否认其效力。</w:t>
      </w:r>
    </w:p>
    <w:p w14:paraId="3A7A84CC" w14:textId="77777777" w:rsidR="009574B0" w:rsidRPr="005F0ABA" w:rsidRDefault="009574B0">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基金托管人更换接受基金管理人指令的传真号或邮箱地址，应提前通知基金管理人。</w:t>
      </w:r>
    </w:p>
    <w:p w14:paraId="4489A695" w14:textId="304C9DF4"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基金管理人和基金托管人对授权文件负有保密义务，其内容不得向被授权人</w:t>
      </w:r>
      <w:r w:rsidRPr="005F0ABA">
        <w:rPr>
          <w:rFonts w:ascii="宋体" w:hAnsi="宋体" w:cs="Arial"/>
          <w:color w:val="000000" w:themeColor="text1"/>
          <w:sz w:val="24"/>
        </w:rPr>
        <w:lastRenderedPageBreak/>
        <w:t>及相关操作人员以外的任何人泄露。但法律法规规定或有权机关要求的除外。</w:t>
      </w:r>
    </w:p>
    <w:p w14:paraId="6FC87A04"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（二）指令的内容</w:t>
      </w:r>
    </w:p>
    <w:p w14:paraId="78FDEE20"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1.指令包括付款指令以及其他资金划拨指令等。</w:t>
      </w:r>
    </w:p>
    <w:p w14:paraId="40A53970"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2.基金管理人发给基金托管人的指令应写明款项事由、支付时间、到账时间、金额、账户等，加盖预留印鉴并由被授权人签字。</w:t>
      </w:r>
    </w:p>
    <w:p w14:paraId="1D994240"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（三）指令的发送、确认及执行的时间和程序</w:t>
      </w:r>
    </w:p>
    <w:p w14:paraId="1B8F4C72"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1.指令的发送</w:t>
      </w:r>
    </w:p>
    <w:p w14:paraId="637477EB"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基金管理人发送指令应采用加密传真方式或双方协商一致的其他方式。</w:t>
      </w:r>
    </w:p>
    <w:p w14:paraId="06296FA8"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14:paraId="7EAD281D"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指令发出后，基金管理人应及时以电话方式向基金托管人确认。</w:t>
      </w:r>
    </w:p>
    <w:p w14:paraId="53E8E78E"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hint="eastAsia"/>
          <w:color w:val="000000" w:themeColor="text1"/>
          <w:sz w:val="24"/>
        </w:rPr>
        <w:t>基金管理人应在银行间交易成交后，及时将通知单、相关文件及划款指令加盖印章后发至基金托管人并电话确认，由基金托管人完成后台交易匹配及资金交收事宜。如果银行间结算系统已经生成的交易需要取消或终止，基金管理人要书面通知基金托管人。</w:t>
      </w:r>
    </w:p>
    <w:p w14:paraId="290818B7"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2.指令的确认</w:t>
      </w:r>
    </w:p>
    <w:p w14:paraId="36A8EE10"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托管人应指定专人接收基金管理人的指令，预先通知基金管理人其名单，并与基金管理人商定指令发送和接收方式。指令到达基金托管人后，基金托管人应指定专人立即审慎验证指令的要素是否齐全，并将指令所载签字和印鉴与授权文件进行表面真实性及权限范围核对，复核无误后应在规定期限内执行，不得延误，如有疑问必须及时通知基金管理人。</w:t>
      </w:r>
    </w:p>
    <w:p w14:paraId="09C19D87"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3.指令的时间和执行</w:t>
      </w:r>
    </w:p>
    <w:p w14:paraId="63C502FB" w14:textId="0022ACB2" w:rsidR="003E6A3F" w:rsidRPr="005F0ABA" w:rsidRDefault="006E6B76">
      <w:pPr>
        <w:pStyle w:val="a6"/>
        <w:spacing w:line="360" w:lineRule="auto"/>
        <w:rPr>
          <w:rFonts w:ascii="宋体" w:eastAsia="宋体" w:hAnsi="宋体" w:cs="Arial"/>
          <w:color w:val="000000" w:themeColor="text1"/>
        </w:rPr>
      </w:pPr>
      <w:r w:rsidRPr="005F0ABA">
        <w:rPr>
          <w:rFonts w:ascii="宋体" w:eastAsia="宋体" w:hAnsi="宋体" w:cs="Arial" w:hint="eastAsia"/>
          <w:color w:val="000000" w:themeColor="text1"/>
        </w:rPr>
        <w:t>基金管理人尽量于划款前</w:t>
      </w:r>
      <w:r w:rsidRPr="005F0ABA">
        <w:rPr>
          <w:rFonts w:ascii="宋体" w:eastAsia="宋体" w:hAnsi="宋体" w:cs="Arial"/>
          <w:color w:val="000000" w:themeColor="text1"/>
        </w:rPr>
        <w:t>1个工作日向基金托管人发送指令并确认。对于要求当天到账的指令，必须在当天15:30前向基金托管人发送，15:30之后发送的，基金托管人尽力执行，但不能保证划账成功。如果要求当天某一时点到账的指令，则指令需要提前2个工作小时发送，</w:t>
      </w:r>
      <w:proofErr w:type="gramStart"/>
      <w:r w:rsidRPr="005F0ABA">
        <w:rPr>
          <w:rFonts w:ascii="宋体" w:eastAsia="宋体" w:hAnsi="宋体" w:cs="Arial"/>
          <w:color w:val="000000" w:themeColor="text1"/>
        </w:rPr>
        <w:t>并相关</w:t>
      </w:r>
      <w:proofErr w:type="gramEnd"/>
      <w:r w:rsidRPr="005F0ABA">
        <w:rPr>
          <w:rFonts w:ascii="宋体" w:eastAsia="宋体" w:hAnsi="宋体" w:cs="Arial"/>
          <w:color w:val="000000" w:themeColor="text1"/>
        </w:rPr>
        <w:t>付款条件已经具备。基金托管人将视</w:t>
      </w:r>
      <w:r w:rsidRPr="005F0ABA">
        <w:rPr>
          <w:rFonts w:ascii="宋体" w:eastAsia="宋体" w:hAnsi="宋体" w:cs="Arial"/>
          <w:color w:val="000000" w:themeColor="text1"/>
        </w:rPr>
        <w:lastRenderedPageBreak/>
        <w:t>付款条件具备时为指令送达时间。</w:t>
      </w:r>
      <w:r w:rsidRPr="005F0ABA">
        <w:rPr>
          <w:rFonts w:ascii="宋体" w:eastAsia="宋体" w:hAnsi="宋体" w:cs="Arial" w:hint="eastAsia"/>
          <w:color w:val="000000" w:themeColor="text1"/>
          <w:szCs w:val="24"/>
        </w:rPr>
        <w:t>基金管理人应确保基金托管人在执行指令时，基金托管资金账户有足够的资金余额，</w:t>
      </w:r>
      <w:r w:rsidRPr="005F0ABA">
        <w:rPr>
          <w:rFonts w:ascii="宋体" w:eastAsia="宋体" w:hAnsi="宋体" w:cs="Arial" w:hint="eastAsia"/>
          <w:color w:val="000000" w:themeColor="text1"/>
        </w:rPr>
        <w:t>在基金资金头寸充足的情况下，基金托管人对基金管理人符合法律法规、《基金合同》、本协议的指令不得拖延或拒绝执行。</w:t>
      </w:r>
    </w:p>
    <w:p w14:paraId="74F99CBC" w14:textId="77777777" w:rsidR="003E6A3F" w:rsidRPr="005F0ABA" w:rsidRDefault="006E6B76">
      <w:pPr>
        <w:pStyle w:val="a6"/>
        <w:spacing w:line="360" w:lineRule="auto"/>
        <w:ind w:firstLineChars="0"/>
        <w:rPr>
          <w:rFonts w:ascii="宋体" w:eastAsia="宋体" w:hAnsi="宋体" w:cs="Arial"/>
          <w:color w:val="000000" w:themeColor="text1"/>
        </w:rPr>
      </w:pPr>
      <w:r w:rsidRPr="005F0ABA">
        <w:rPr>
          <w:rFonts w:ascii="宋体" w:eastAsia="宋体" w:hAnsi="宋体" w:cs="Arial" w:hint="eastAsia"/>
          <w:color w:val="000000" w:themeColor="text1"/>
        </w:rPr>
        <w:t>（四）基金管理人发送错误指令的情形和处理程序</w:t>
      </w:r>
    </w:p>
    <w:p w14:paraId="26FEC3D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基金管理人发送错误指令的情形包括指令违反法律法规和《基金合同》，指令发送人员无权或超越权限发送指令。</w:t>
      </w:r>
    </w:p>
    <w:p w14:paraId="16AB1BF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基金托管人在履行监督职能时，发现基金管理人的指令错误时，有权拒绝执行，并及时通知基金管理人改正。如需撤销指令，基金管理人应出具书面说明，并加盖业务用章。</w:t>
      </w:r>
    </w:p>
    <w:p w14:paraId="3D5BBF6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（五）基金托管人依照法律法规暂缓、拒绝执行指令的情形和处理程序</w:t>
      </w:r>
    </w:p>
    <w:p w14:paraId="03CB6808" w14:textId="77777777" w:rsidR="003E6A3F" w:rsidRPr="005F0ABA" w:rsidRDefault="006E6B76">
      <w:pPr>
        <w:adjustRightInd w:val="0"/>
        <w:snapToGrid w:val="0"/>
        <w:spacing w:line="360" w:lineRule="auto"/>
        <w:ind w:firstLine="480"/>
        <w:rPr>
          <w:rFonts w:ascii="宋体" w:hAnsi="宋体" w:cs="Arial"/>
          <w:color w:val="000000" w:themeColor="text1"/>
          <w:sz w:val="24"/>
        </w:rPr>
      </w:pPr>
      <w:proofErr w:type="gramStart"/>
      <w:r w:rsidRPr="005F0ABA">
        <w:rPr>
          <w:rFonts w:ascii="宋体" w:hAnsi="宋体" w:cs="Arial" w:hint="eastAsia"/>
          <w:color w:val="000000" w:themeColor="text1"/>
          <w:sz w:val="24"/>
        </w:rPr>
        <w:t>若基金</w:t>
      </w:r>
      <w:proofErr w:type="gramEnd"/>
      <w:r w:rsidRPr="005F0ABA">
        <w:rPr>
          <w:rFonts w:ascii="宋体" w:hAnsi="宋体" w:cs="Arial" w:hint="eastAsia"/>
          <w:color w:val="000000" w:themeColor="text1"/>
          <w:sz w:val="24"/>
        </w:rPr>
        <w:t>托管人发现基金管理人的指令违反法律法规，或者违反《基金合同》约定的，应当拒绝执行，并立即通知基金管理人。</w:t>
      </w:r>
    </w:p>
    <w:p w14:paraId="2D62AD8F"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（六）基金托管人未按照基金管理人指令执行的处理方法</w:t>
      </w:r>
    </w:p>
    <w:p w14:paraId="3DA918B2"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基金托管人由于过错，未按照基金管理人的符合法律法规、监管规定、《基金合同》和本协议约定发送的指令执行并对基金财产或投资人造成的直接损失，由基金托管人</w:t>
      </w:r>
      <w:r w:rsidRPr="005F0ABA">
        <w:rPr>
          <w:rFonts w:ascii="宋体" w:hAnsi="宋体" w:hint="eastAsia"/>
          <w:color w:val="000000" w:themeColor="text1"/>
          <w:sz w:val="24"/>
        </w:rPr>
        <w:t>赔偿由此造成的直接损失。</w:t>
      </w:r>
    </w:p>
    <w:p w14:paraId="2F2B6E1E" w14:textId="2360C7FE" w:rsidR="003E6A3F" w:rsidRPr="005F0ABA" w:rsidRDefault="006E6B76" w:rsidP="009574B0">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（七）其他事项</w:t>
      </w:r>
    </w:p>
    <w:p w14:paraId="302C4B4B" w14:textId="1F8F2B3B"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基金托管人在接收指令时，应对指令的要素是否齐全、印鉴与被授权人是否与预留的授权文件内容</w:t>
      </w:r>
      <w:r w:rsidR="00021E92" w:rsidRPr="005F0ABA">
        <w:rPr>
          <w:rFonts w:ascii="宋体" w:hAnsi="宋体" w:cs="Arial" w:hint="eastAsia"/>
          <w:color w:val="000000" w:themeColor="text1"/>
          <w:sz w:val="24"/>
        </w:rPr>
        <w:t>表面</w:t>
      </w:r>
      <w:r w:rsidRPr="005F0ABA">
        <w:rPr>
          <w:rFonts w:ascii="宋体" w:hAnsi="宋体" w:cs="Arial" w:hint="eastAsia"/>
          <w:color w:val="000000" w:themeColor="text1"/>
          <w:sz w:val="24"/>
        </w:rPr>
        <w:t>相符进行检查，如发现问题，应及时报告基金管理人，基金托管人对执行基金管理人的有效指令对基金财产造成的损失不承担赔偿责任。</w:t>
      </w:r>
    </w:p>
    <w:p w14:paraId="0E9F03F8"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基金参与认购未上市债券时，基金管理人应代表本基金与对手方签署相关合同或协议，明确约定债券过户具体事宜。否则，基金管理人需对所认购债券的过户事宜承担相应责任。</w:t>
      </w:r>
    </w:p>
    <w:p w14:paraId="0567EF2E" w14:textId="77777777" w:rsidR="003E6A3F" w:rsidRPr="005F0ABA" w:rsidRDefault="003E6A3F">
      <w:pPr>
        <w:adjustRightInd w:val="0"/>
        <w:snapToGrid w:val="0"/>
        <w:spacing w:line="360" w:lineRule="auto"/>
        <w:rPr>
          <w:rFonts w:ascii="宋体" w:hAnsi="宋体" w:cs="Arial"/>
          <w:color w:val="000000" w:themeColor="text1"/>
          <w:sz w:val="24"/>
        </w:rPr>
      </w:pPr>
    </w:p>
    <w:p w14:paraId="7F4F6005"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67" w:name="_Toc118774806"/>
      <w:bookmarkStart w:id="68" w:name="_Toc118212953"/>
      <w:bookmarkStart w:id="69" w:name="_Toc86726442"/>
      <w:bookmarkStart w:id="70" w:name="_Toc124325891"/>
      <w:bookmarkStart w:id="71" w:name="_Toc86225294"/>
      <w:bookmarkStart w:id="72" w:name="_Toc86649725"/>
      <w:bookmarkStart w:id="73" w:name="_Toc86223245"/>
      <w:bookmarkStart w:id="74" w:name="_Toc108512361"/>
      <w:bookmarkStart w:id="75" w:name="_Toc119402713"/>
      <w:bookmarkStart w:id="76" w:name="_Toc86204791"/>
      <w:bookmarkStart w:id="77" w:name="_Toc84234437"/>
      <w:bookmarkStart w:id="78" w:name="_Toc110765663"/>
      <w:bookmarkStart w:id="79" w:name="_Toc110830495"/>
      <w:bookmarkStart w:id="80" w:name="_Toc118972651"/>
      <w:bookmarkStart w:id="81" w:name="_Toc110761799"/>
      <w:bookmarkStart w:id="82" w:name="_Toc120435786"/>
      <w:bookmarkStart w:id="83" w:name="_Toc89163371"/>
      <w:bookmarkStart w:id="84" w:name="_Toc86737932"/>
      <w:bookmarkStart w:id="85" w:name="_Toc86727358"/>
      <w:bookmarkStart w:id="86" w:name="_Toc84133788"/>
      <w:bookmarkStart w:id="87" w:name="_Toc84234390"/>
      <w:r w:rsidRPr="005F0ABA">
        <w:rPr>
          <w:rFonts w:ascii="宋体" w:eastAsia="宋体" w:hAnsi="宋体" w:hint="eastAsia"/>
          <w:color w:val="000000" w:themeColor="text1"/>
          <w:sz w:val="30"/>
        </w:rPr>
        <w:t>七、交易及清算交收安排</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23239562" w14:textId="34B4D529"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color w:val="000000" w:themeColor="text1"/>
          <w:sz w:val="24"/>
        </w:rPr>
        <w:t>本</w:t>
      </w:r>
      <w:r w:rsidR="001B2F02" w:rsidRPr="005F0ABA">
        <w:rPr>
          <w:rFonts w:ascii="宋体" w:hAnsi="宋体" w:hint="eastAsia"/>
          <w:color w:val="000000" w:themeColor="text1"/>
          <w:sz w:val="24"/>
        </w:rPr>
        <w:t>基金</w:t>
      </w:r>
      <w:r w:rsidRPr="005F0ABA">
        <w:rPr>
          <w:rFonts w:ascii="宋体" w:hAnsi="宋体" w:hint="eastAsia"/>
          <w:color w:val="000000" w:themeColor="text1"/>
          <w:sz w:val="24"/>
        </w:rPr>
        <w:t>参与交易所场内证券投资，采取托管人结算模式，</w:t>
      </w:r>
      <w:r w:rsidRPr="005F0ABA">
        <w:rPr>
          <w:rFonts w:ascii="宋体" w:hAnsi="宋体" w:hint="eastAsia"/>
          <w:bCs/>
          <w:color w:val="000000" w:themeColor="text1"/>
          <w:sz w:val="24"/>
        </w:rPr>
        <w:t>基金管理人与基金托管人应根据有关法律法规及相关业务规则，签订《托管银行证券资金结算协议》用以具体明确基金管理人与基金托管人在证券交易资金结算业务中的程序与责任。协议签署前，基金管理人应按基金托管人要求配合提供相应准入材料。</w:t>
      </w:r>
    </w:p>
    <w:p w14:paraId="14F430CC"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lastRenderedPageBreak/>
        <w:t>（一）选择证券/期货买卖的证券/期货经营机构</w:t>
      </w:r>
    </w:p>
    <w:p w14:paraId="7528804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应设计选择证券买卖的证券经营机构的标准和程序。基金管理人负责选择证券经营机构，租用其交易单元作为基金的专用交易单元。基金管理人和被选中的证券经营机构签订委托协议，基金管理人应提前通知基金托管人，并依据基金托管人要求提供相关资料，以便基金托管人申请办理接收结算数据手续。基金管理人应根据有关规定，在基金的中期报告和年度报告中将所选证券经营机构的有关情况及交易信息予以披露，并将该等情况及基金交易单元号、佣金费率等基本信息以及变更情况及时以书面形式通知基金托管人。</w:t>
      </w:r>
    </w:p>
    <w:p w14:paraId="2DCE65C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本基金在开始进行期货投资之前，应与基金托管人、期货公司三方</w:t>
      </w:r>
      <w:proofErr w:type="gramStart"/>
      <w:r w:rsidRPr="005F0ABA">
        <w:rPr>
          <w:rFonts w:ascii="宋体" w:hAnsi="宋体" w:cs="Arial" w:hint="eastAsia"/>
          <w:color w:val="000000" w:themeColor="text1"/>
          <w:sz w:val="24"/>
        </w:rPr>
        <w:t>一同就</w:t>
      </w:r>
      <w:proofErr w:type="gramEnd"/>
      <w:r w:rsidRPr="005F0ABA">
        <w:rPr>
          <w:rFonts w:ascii="宋体" w:hAnsi="宋体" w:cs="Arial" w:hint="eastAsia"/>
          <w:color w:val="000000" w:themeColor="text1"/>
          <w:sz w:val="24"/>
        </w:rPr>
        <w:t>期货开户、清算、估值、交收等事宜另行签署《期货投资托管操作三方备忘录》。</w:t>
      </w:r>
    </w:p>
    <w:p w14:paraId="62238DD5"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（二）基金投资证券后的清算交收安排</w:t>
      </w:r>
    </w:p>
    <w:p w14:paraId="09051EF7" w14:textId="77777777" w:rsidR="003E6A3F" w:rsidRPr="005F0ABA" w:rsidRDefault="006E6B76">
      <w:pPr>
        <w:adjustRightInd w:val="0"/>
        <w:snapToGrid w:val="0"/>
        <w:ind w:firstLine="480"/>
        <w:rPr>
          <w:rFonts w:ascii="宋体" w:hAnsi="宋体" w:cs="Arial"/>
          <w:color w:val="000000" w:themeColor="text1"/>
          <w:sz w:val="24"/>
        </w:rPr>
      </w:pPr>
      <w:r w:rsidRPr="005F0ABA">
        <w:rPr>
          <w:rFonts w:ascii="宋体" w:hAnsi="宋体" w:cs="Arial" w:hint="eastAsia"/>
          <w:color w:val="000000" w:themeColor="text1"/>
          <w:sz w:val="24"/>
        </w:rPr>
        <w:t>1.结算备付金与保证金</w:t>
      </w:r>
    </w:p>
    <w:p w14:paraId="2481A381"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中国证券登记结算有限责任公司分别于每月前</w:t>
      </w:r>
      <w:r w:rsidRPr="005F0ABA">
        <w:rPr>
          <w:rFonts w:ascii="宋体" w:hAnsi="宋体"/>
          <w:bCs/>
          <w:color w:val="000000" w:themeColor="text1"/>
          <w:sz w:val="24"/>
        </w:rPr>
        <w:t>6个交易日</w:t>
      </w:r>
      <w:r w:rsidRPr="005F0ABA">
        <w:rPr>
          <w:rFonts w:ascii="宋体" w:hAnsi="宋体" w:hint="eastAsia"/>
          <w:bCs/>
          <w:color w:val="000000" w:themeColor="text1"/>
          <w:sz w:val="24"/>
        </w:rPr>
        <w:t>及每月前</w:t>
      </w:r>
      <w:r w:rsidRPr="005F0ABA">
        <w:rPr>
          <w:rFonts w:ascii="宋体" w:hAnsi="宋体"/>
          <w:bCs/>
          <w:color w:val="000000" w:themeColor="text1"/>
          <w:sz w:val="24"/>
        </w:rPr>
        <w:t>3个交易日内，对结算参与人最低备付金限额与结算保证金限额进行重新核算、调整。基金托管人</w:t>
      </w:r>
      <w:r w:rsidRPr="005F0ABA">
        <w:rPr>
          <w:rFonts w:ascii="宋体" w:hAnsi="宋体" w:hint="eastAsia"/>
          <w:bCs/>
          <w:color w:val="000000" w:themeColor="text1"/>
          <w:sz w:val="24"/>
        </w:rPr>
        <w:t>应分别于每月前</w:t>
      </w:r>
      <w:r w:rsidRPr="005F0ABA">
        <w:rPr>
          <w:rFonts w:ascii="宋体" w:hAnsi="宋体"/>
          <w:bCs/>
          <w:color w:val="000000" w:themeColor="text1"/>
          <w:sz w:val="24"/>
        </w:rPr>
        <w:t>3个交易日内及结算保证金调整当日通过《资金账户报告》通知基金管理人</w:t>
      </w:r>
      <w:r w:rsidRPr="005F0ABA">
        <w:rPr>
          <w:rFonts w:ascii="宋体" w:hAnsi="宋体" w:hint="eastAsia"/>
          <w:bCs/>
          <w:color w:val="000000" w:themeColor="text1"/>
          <w:sz w:val="24"/>
        </w:rPr>
        <w:t>本基金最低备付金调整金额以及调整后的结算保证金金额。</w:t>
      </w:r>
      <w:r w:rsidRPr="005F0ABA">
        <w:rPr>
          <w:rFonts w:ascii="宋体" w:hAnsi="宋体" w:hint="eastAsia"/>
          <w:color w:val="000000" w:themeColor="text1"/>
          <w:sz w:val="24"/>
        </w:rPr>
        <w:t>基金管理人应预留最低备付金和结算保证金，并根据中国证券登记结算有限责任公司确定的实际最低备付金、结算保证金数据为依据安排资金运作，调整所需的现金头寸。如因调整最低备付金、结算保证金后造成透支，基金管理人应</w:t>
      </w:r>
      <w:proofErr w:type="gramStart"/>
      <w:r w:rsidRPr="005F0ABA">
        <w:rPr>
          <w:rFonts w:ascii="宋体" w:hAnsi="宋体" w:hint="eastAsia"/>
          <w:color w:val="000000" w:themeColor="text1"/>
          <w:sz w:val="24"/>
        </w:rPr>
        <w:t>视基金</w:t>
      </w:r>
      <w:proofErr w:type="gramEnd"/>
      <w:r w:rsidRPr="005F0ABA">
        <w:rPr>
          <w:rFonts w:ascii="宋体" w:hAnsi="宋体" w:hint="eastAsia"/>
          <w:color w:val="000000" w:themeColor="text1"/>
          <w:sz w:val="24"/>
        </w:rPr>
        <w:t>托管人最低结算备付金比例计收方式分别于下列时点补足透支金额：</w:t>
      </w:r>
    </w:p>
    <w:p w14:paraId="1C6A4111" w14:textId="77777777" w:rsidR="003E6A3F" w:rsidRPr="005F0ABA" w:rsidRDefault="006E6B76">
      <w:pPr>
        <w:spacing w:line="360" w:lineRule="auto"/>
        <w:ind w:firstLineChars="200" w:firstLine="480"/>
        <w:rPr>
          <w:rFonts w:ascii="宋体" w:hAnsi="宋体"/>
          <w:color w:val="000000" w:themeColor="text1"/>
          <w:sz w:val="24"/>
        </w:rPr>
      </w:pPr>
      <w:r w:rsidRPr="005F0ABA">
        <w:rPr>
          <w:rFonts w:ascii="宋体" w:hAnsi="宋体" w:hint="eastAsia"/>
          <w:color w:val="000000" w:themeColor="text1"/>
          <w:sz w:val="24"/>
        </w:rPr>
        <w:t>（</w:t>
      </w:r>
      <w:r w:rsidRPr="005F0ABA">
        <w:rPr>
          <w:rFonts w:ascii="宋体" w:hAnsi="宋体"/>
          <w:color w:val="000000" w:themeColor="text1"/>
          <w:sz w:val="24"/>
        </w:rPr>
        <w:t>1）固定备付金比例</w:t>
      </w:r>
      <w:r w:rsidRPr="005F0ABA">
        <w:rPr>
          <w:rFonts w:ascii="宋体" w:hAnsi="宋体" w:hint="eastAsia"/>
          <w:color w:val="000000" w:themeColor="text1"/>
          <w:sz w:val="24"/>
        </w:rPr>
        <w:t>计收方式下，基金管理人应在调整最低备付金、结算保证金当日上午</w:t>
      </w:r>
      <w:r w:rsidRPr="005F0ABA">
        <w:rPr>
          <w:rFonts w:ascii="宋体" w:hAnsi="宋体"/>
          <w:color w:val="000000" w:themeColor="text1"/>
          <w:sz w:val="24"/>
        </w:rPr>
        <w:t>11</w:t>
      </w:r>
      <w:r w:rsidRPr="005F0ABA">
        <w:rPr>
          <w:rFonts w:ascii="宋体" w:hAnsi="宋体" w:hint="eastAsia"/>
          <w:color w:val="000000" w:themeColor="text1"/>
          <w:sz w:val="24"/>
        </w:rPr>
        <w:t>：</w:t>
      </w:r>
      <w:r w:rsidRPr="005F0ABA">
        <w:rPr>
          <w:rFonts w:ascii="宋体" w:hAnsi="宋体"/>
          <w:color w:val="000000" w:themeColor="text1"/>
          <w:sz w:val="24"/>
        </w:rPr>
        <w:t>00之前补足</w:t>
      </w:r>
      <w:r w:rsidRPr="005F0ABA">
        <w:rPr>
          <w:rFonts w:ascii="宋体" w:hAnsi="宋体" w:hint="eastAsia"/>
          <w:color w:val="000000" w:themeColor="text1"/>
          <w:sz w:val="24"/>
        </w:rPr>
        <w:t>金额。</w:t>
      </w:r>
    </w:p>
    <w:p w14:paraId="334EDB4E" w14:textId="77777777" w:rsidR="003E6A3F" w:rsidRPr="005F0ABA" w:rsidRDefault="006E6B76">
      <w:pPr>
        <w:spacing w:line="360" w:lineRule="auto"/>
        <w:ind w:firstLineChars="200" w:firstLine="480"/>
        <w:rPr>
          <w:rFonts w:ascii="宋体" w:hAnsi="宋体" w:cs="Arial"/>
          <w:color w:val="000000" w:themeColor="text1"/>
          <w:sz w:val="24"/>
        </w:rPr>
      </w:pPr>
      <w:r w:rsidRPr="005F0ABA">
        <w:rPr>
          <w:rFonts w:ascii="宋体" w:hAnsi="宋体" w:hint="eastAsia"/>
          <w:color w:val="000000" w:themeColor="text1"/>
          <w:sz w:val="24"/>
        </w:rPr>
        <w:t>（</w:t>
      </w:r>
      <w:r w:rsidRPr="005F0ABA">
        <w:rPr>
          <w:rFonts w:ascii="宋体" w:hAnsi="宋体"/>
          <w:color w:val="000000" w:themeColor="text1"/>
          <w:sz w:val="24"/>
        </w:rPr>
        <w:t>2）差异化备付金比例</w:t>
      </w:r>
      <w:r w:rsidRPr="005F0ABA">
        <w:rPr>
          <w:rFonts w:ascii="宋体" w:hAnsi="宋体" w:hint="eastAsia"/>
          <w:color w:val="000000" w:themeColor="text1"/>
          <w:sz w:val="24"/>
        </w:rPr>
        <w:t>计收方式下，基金管理人应最晚于资金</w:t>
      </w:r>
      <w:proofErr w:type="gramStart"/>
      <w:r w:rsidRPr="005F0ABA">
        <w:rPr>
          <w:rFonts w:ascii="宋体" w:hAnsi="宋体" w:hint="eastAsia"/>
          <w:color w:val="000000" w:themeColor="text1"/>
          <w:sz w:val="24"/>
        </w:rPr>
        <w:t>交收日上午</w:t>
      </w:r>
      <w:proofErr w:type="gramEnd"/>
      <w:r w:rsidRPr="005F0ABA">
        <w:rPr>
          <w:rFonts w:ascii="宋体" w:hAnsi="宋体"/>
          <w:color w:val="000000" w:themeColor="text1"/>
          <w:sz w:val="24"/>
        </w:rPr>
        <w:t>8：30前补足金额</w:t>
      </w:r>
      <w:r w:rsidRPr="005F0ABA">
        <w:rPr>
          <w:rFonts w:ascii="宋体" w:hAnsi="宋体" w:hint="eastAsia"/>
          <w:color w:val="000000" w:themeColor="text1"/>
          <w:sz w:val="24"/>
        </w:rPr>
        <w:t>。</w:t>
      </w:r>
    </w:p>
    <w:p w14:paraId="7F03750D" w14:textId="02D2C55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bCs/>
          <w:color w:val="000000" w:themeColor="text1"/>
          <w:sz w:val="24"/>
        </w:rPr>
        <w:t>2</w:t>
      </w:r>
      <w:r w:rsidR="001B2F02" w:rsidRPr="005F0ABA">
        <w:rPr>
          <w:rFonts w:ascii="宋体" w:hAnsi="宋体" w:hint="eastAsia"/>
          <w:bCs/>
          <w:color w:val="000000" w:themeColor="text1"/>
          <w:sz w:val="24"/>
        </w:rPr>
        <w:t>.</w:t>
      </w:r>
      <w:r w:rsidRPr="005F0ABA">
        <w:rPr>
          <w:rFonts w:ascii="宋体" w:hAnsi="宋体"/>
          <w:bCs/>
          <w:color w:val="000000" w:themeColor="text1"/>
          <w:sz w:val="24"/>
        </w:rPr>
        <w:t>清算交收</w:t>
      </w:r>
    </w:p>
    <w:p w14:paraId="3AD2CF23"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基金托管人负责基金买卖证券的清算交收。场内资金结算由基金托管人根据中国证券登记结算有限责任公司结算数据办理；场外资金汇划由基金托管人根据基金管理人的交易划款指令具体办理。</w:t>
      </w:r>
    </w:p>
    <w:p w14:paraId="4461433D" w14:textId="7CA9B30F"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如果因为基金托管人过错在清算上造成基金财产的直接损失，应由基金托管人负责赔偿</w:t>
      </w:r>
      <w:r w:rsidRPr="005F0ABA">
        <w:rPr>
          <w:rFonts w:ascii="宋体" w:hAnsi="宋体" w:cs="宋体" w:hint="eastAsia"/>
          <w:color w:val="000000" w:themeColor="text1"/>
          <w:kern w:val="0"/>
          <w:sz w:val="22"/>
          <w:szCs w:val="22"/>
          <w:u w:val="single"/>
          <w:lang w:val="zh-CN"/>
        </w:rPr>
        <w:t>，</w:t>
      </w:r>
      <w:r w:rsidRPr="005F0ABA">
        <w:rPr>
          <w:rFonts w:ascii="宋体" w:hAnsi="宋体" w:cs="Arial" w:hint="eastAsia"/>
          <w:color w:val="000000" w:themeColor="text1"/>
          <w:sz w:val="24"/>
        </w:rPr>
        <w:t>但因中国人民银行、中国结算和银行间市场登记结算机构资金结算系</w:t>
      </w:r>
      <w:r w:rsidRPr="005F0ABA">
        <w:rPr>
          <w:rFonts w:ascii="宋体" w:hAnsi="宋体" w:cs="Arial" w:hint="eastAsia"/>
          <w:color w:val="000000" w:themeColor="text1"/>
          <w:sz w:val="24"/>
        </w:rPr>
        <w:lastRenderedPageBreak/>
        <w:t>统以及其他机构的结算系统发生故障等</w:t>
      </w:r>
      <w:proofErr w:type="gramStart"/>
      <w:r w:rsidRPr="005F0ABA">
        <w:rPr>
          <w:rFonts w:ascii="宋体" w:hAnsi="宋体" w:cs="Arial" w:hint="eastAsia"/>
          <w:color w:val="000000" w:themeColor="text1"/>
          <w:sz w:val="24"/>
        </w:rPr>
        <w:t>非基金</w:t>
      </w:r>
      <w:proofErr w:type="gramEnd"/>
      <w:r w:rsidRPr="005F0ABA">
        <w:rPr>
          <w:rFonts w:ascii="宋体" w:hAnsi="宋体" w:cs="Arial" w:hint="eastAsia"/>
          <w:color w:val="000000" w:themeColor="text1"/>
          <w:sz w:val="24"/>
        </w:rPr>
        <w:t>托管人可以控制的因素造成清算资金无法按时到账的情形，基金托管人不承担任何责任；如果因为基金管理人未事先通知基金托管人增加交易单元等事宜，致使基金托管人接收数据不完整，造成清算差错的责任由</w:t>
      </w:r>
      <w:r w:rsidR="00B0014C" w:rsidRPr="005F0ABA">
        <w:rPr>
          <w:rFonts w:ascii="宋体" w:hAnsi="宋体" w:cs="Arial" w:hint="eastAsia"/>
          <w:color w:val="000000" w:themeColor="text1"/>
          <w:sz w:val="24"/>
        </w:rPr>
        <w:t>基金管理人</w:t>
      </w:r>
      <w:r w:rsidRPr="005F0ABA">
        <w:rPr>
          <w:rFonts w:ascii="宋体" w:hAnsi="宋体" w:cs="Arial" w:hint="eastAsia"/>
          <w:color w:val="000000" w:themeColor="text1"/>
          <w:sz w:val="24"/>
        </w:rPr>
        <w:t>承担；如果因为基金管理人未事先通知需要单独结算的交易，造成基金资产损失的由基金管理人承担；如果由于基金管理人违反市场操作规则的规定进行超买、超卖及质押</w:t>
      </w:r>
      <w:proofErr w:type="gramStart"/>
      <w:r w:rsidRPr="005F0ABA">
        <w:rPr>
          <w:rFonts w:ascii="宋体" w:hAnsi="宋体" w:cs="Arial" w:hint="eastAsia"/>
          <w:color w:val="000000" w:themeColor="text1"/>
          <w:sz w:val="24"/>
        </w:rPr>
        <w:t>券</w:t>
      </w:r>
      <w:proofErr w:type="gramEnd"/>
      <w:r w:rsidRPr="005F0ABA">
        <w:rPr>
          <w:rFonts w:ascii="宋体" w:hAnsi="宋体" w:cs="Arial" w:hint="eastAsia"/>
          <w:color w:val="000000" w:themeColor="text1"/>
          <w:sz w:val="24"/>
        </w:rPr>
        <w:t>欠库等原因造成基金投资清算困难和风险的，基金托管人在预清算结束后应通知基金管理人预透支和预欠库事项，基金管理人应保持联系方式畅通，后续补缴等事宜由基金管理人负责解决，由此给基金托管人、本基金和基金托管人托管的其他资产造成的直接损失由基金管理人承担。</w:t>
      </w:r>
    </w:p>
    <w:p w14:paraId="422BBDAB" w14:textId="77777777" w:rsidR="003E6A3F" w:rsidRPr="005F0ABA" w:rsidRDefault="006E6B76">
      <w:pPr>
        <w:spacing w:line="360" w:lineRule="auto"/>
        <w:ind w:firstLineChars="200" w:firstLine="480"/>
        <w:rPr>
          <w:rFonts w:ascii="宋体" w:hAnsi="宋体" w:cs="宋体"/>
          <w:color w:val="000000" w:themeColor="text1"/>
          <w:kern w:val="0"/>
          <w:sz w:val="24"/>
        </w:rPr>
      </w:pPr>
      <w:r w:rsidRPr="005F0ABA">
        <w:rPr>
          <w:rFonts w:ascii="宋体" w:hAnsi="宋体" w:cs="宋体" w:hint="eastAsia"/>
          <w:color w:val="000000" w:themeColor="text1"/>
          <w:kern w:val="0"/>
          <w:sz w:val="24"/>
        </w:rPr>
        <w:t>基金管理人应采取合理、必要措施，确保</w:t>
      </w:r>
      <w:r w:rsidRPr="005F0ABA">
        <w:rPr>
          <w:rFonts w:ascii="宋体" w:hAnsi="宋体" w:cs="宋体"/>
          <w:color w:val="000000" w:themeColor="text1"/>
          <w:kern w:val="0"/>
          <w:sz w:val="24"/>
        </w:rPr>
        <w:t>T日日终有足够的资金头寸完成 T+1日</w:t>
      </w:r>
      <w:r w:rsidRPr="005F0ABA">
        <w:rPr>
          <w:rFonts w:ascii="宋体" w:hAnsi="宋体" w:hint="eastAsia"/>
          <w:color w:val="000000" w:themeColor="text1"/>
          <w:sz w:val="24"/>
        </w:rPr>
        <w:t>中国证券登记结算有限责任公司的资金</w:t>
      </w:r>
      <w:r w:rsidRPr="005F0ABA">
        <w:rPr>
          <w:rFonts w:ascii="宋体" w:hAnsi="宋体" w:cs="宋体" w:hint="eastAsia"/>
          <w:color w:val="000000" w:themeColor="text1"/>
          <w:kern w:val="0"/>
          <w:sz w:val="24"/>
        </w:rPr>
        <w:t>交收；如因基金管理</w:t>
      </w:r>
      <w:proofErr w:type="gramStart"/>
      <w:r w:rsidRPr="005F0ABA">
        <w:rPr>
          <w:rFonts w:ascii="宋体" w:hAnsi="宋体" w:cs="宋体" w:hint="eastAsia"/>
          <w:color w:val="000000" w:themeColor="text1"/>
          <w:kern w:val="0"/>
          <w:sz w:val="24"/>
        </w:rPr>
        <w:t>人原因</w:t>
      </w:r>
      <w:proofErr w:type="gramEnd"/>
      <w:r w:rsidRPr="005F0ABA">
        <w:rPr>
          <w:rFonts w:ascii="宋体" w:hAnsi="宋体" w:cs="宋体" w:hint="eastAsia"/>
          <w:color w:val="000000" w:themeColor="text1"/>
          <w:kern w:val="0"/>
          <w:sz w:val="24"/>
        </w:rPr>
        <w:t>导致资金头寸不足，基金管理人应</w:t>
      </w:r>
      <w:proofErr w:type="gramStart"/>
      <w:r w:rsidRPr="005F0ABA">
        <w:rPr>
          <w:rFonts w:ascii="宋体" w:hAnsi="宋体" w:hint="eastAsia"/>
          <w:color w:val="000000" w:themeColor="text1"/>
          <w:sz w:val="24"/>
        </w:rPr>
        <w:t>视基金</w:t>
      </w:r>
      <w:proofErr w:type="gramEnd"/>
      <w:r w:rsidRPr="005F0ABA">
        <w:rPr>
          <w:rFonts w:ascii="宋体" w:hAnsi="宋体" w:hint="eastAsia"/>
          <w:color w:val="000000" w:themeColor="text1"/>
          <w:sz w:val="24"/>
        </w:rPr>
        <w:t>托管</w:t>
      </w:r>
      <w:r w:rsidRPr="005F0ABA">
        <w:rPr>
          <w:rFonts w:ascii="宋体" w:hAnsi="宋体"/>
          <w:color w:val="000000" w:themeColor="text1"/>
          <w:sz w:val="24"/>
        </w:rPr>
        <w:t>人</w:t>
      </w:r>
      <w:r w:rsidRPr="005F0ABA">
        <w:rPr>
          <w:rFonts w:ascii="宋体" w:hAnsi="宋体" w:hint="eastAsia"/>
          <w:color w:val="000000" w:themeColor="text1"/>
          <w:sz w:val="24"/>
        </w:rPr>
        <w:t>最低结算备付金比例计收方式分别于下列时点补足透支金额：</w:t>
      </w:r>
    </w:p>
    <w:p w14:paraId="23182CDA" w14:textId="77777777" w:rsidR="003E6A3F" w:rsidRPr="005F0ABA" w:rsidRDefault="006E6B76">
      <w:pPr>
        <w:spacing w:line="360" w:lineRule="auto"/>
        <w:ind w:firstLineChars="200" w:firstLine="480"/>
        <w:rPr>
          <w:rFonts w:ascii="宋体" w:hAnsi="宋体"/>
          <w:color w:val="000000" w:themeColor="text1"/>
          <w:sz w:val="24"/>
        </w:rPr>
      </w:pPr>
      <w:r w:rsidRPr="005F0ABA">
        <w:rPr>
          <w:rFonts w:ascii="宋体" w:hAnsi="宋体" w:hint="eastAsia"/>
          <w:color w:val="000000" w:themeColor="text1"/>
          <w:sz w:val="24"/>
        </w:rPr>
        <w:t>（</w:t>
      </w:r>
      <w:r w:rsidRPr="005F0ABA">
        <w:rPr>
          <w:rFonts w:ascii="宋体" w:hAnsi="宋体"/>
          <w:color w:val="000000" w:themeColor="text1"/>
          <w:sz w:val="24"/>
        </w:rPr>
        <w:t>1）固定备付金比例计收方式下，</w:t>
      </w:r>
      <w:r w:rsidRPr="005F0ABA">
        <w:rPr>
          <w:rFonts w:ascii="宋体" w:hAnsi="宋体" w:hint="eastAsia"/>
          <w:color w:val="000000" w:themeColor="text1"/>
          <w:sz w:val="24"/>
        </w:rPr>
        <w:t>基金</w:t>
      </w:r>
      <w:r w:rsidRPr="005F0ABA">
        <w:rPr>
          <w:rFonts w:ascii="宋体" w:hAnsi="宋体"/>
          <w:color w:val="000000" w:themeColor="text1"/>
          <w:sz w:val="24"/>
        </w:rPr>
        <w:t>管理人应</w:t>
      </w:r>
      <w:r w:rsidRPr="005F0ABA">
        <w:rPr>
          <w:rFonts w:ascii="宋体" w:hAnsi="宋体" w:hint="eastAsia"/>
          <w:color w:val="000000" w:themeColor="text1"/>
          <w:sz w:val="24"/>
        </w:rPr>
        <w:t>最晚于资金</w:t>
      </w:r>
      <w:proofErr w:type="gramStart"/>
      <w:r w:rsidRPr="005F0ABA">
        <w:rPr>
          <w:rFonts w:ascii="宋体" w:hAnsi="宋体" w:hint="eastAsia"/>
          <w:color w:val="000000" w:themeColor="text1"/>
          <w:sz w:val="24"/>
        </w:rPr>
        <w:t>交收日上午</w:t>
      </w:r>
      <w:proofErr w:type="gramEnd"/>
      <w:r w:rsidRPr="005F0ABA">
        <w:rPr>
          <w:rFonts w:ascii="宋体" w:hAnsi="宋体"/>
          <w:color w:val="000000" w:themeColor="text1"/>
          <w:sz w:val="24"/>
        </w:rPr>
        <w:t>11</w:t>
      </w:r>
      <w:r w:rsidRPr="005F0ABA">
        <w:rPr>
          <w:rFonts w:ascii="宋体" w:hAnsi="宋体" w:hint="eastAsia"/>
          <w:color w:val="000000" w:themeColor="text1"/>
          <w:sz w:val="24"/>
        </w:rPr>
        <w:t>：</w:t>
      </w:r>
      <w:r w:rsidRPr="005F0ABA">
        <w:rPr>
          <w:rFonts w:ascii="宋体" w:hAnsi="宋体"/>
          <w:color w:val="000000" w:themeColor="text1"/>
          <w:sz w:val="24"/>
        </w:rPr>
        <w:t>00前补足金额。</w:t>
      </w:r>
    </w:p>
    <w:p w14:paraId="1DE2E0F0" w14:textId="77777777" w:rsidR="001B2F02" w:rsidRPr="005F0ABA" w:rsidRDefault="006E6B76">
      <w:pPr>
        <w:adjustRightInd w:val="0"/>
        <w:snapToGrid w:val="0"/>
        <w:spacing w:line="360" w:lineRule="auto"/>
        <w:ind w:firstLine="480"/>
        <w:rPr>
          <w:rFonts w:ascii="宋体" w:hAnsi="宋体" w:cs="宋体"/>
          <w:color w:val="000000" w:themeColor="text1"/>
          <w:kern w:val="0"/>
          <w:sz w:val="24"/>
        </w:rPr>
      </w:pPr>
      <w:r w:rsidRPr="005F0ABA">
        <w:rPr>
          <w:rFonts w:ascii="宋体" w:hAnsi="宋体" w:hint="eastAsia"/>
          <w:color w:val="000000" w:themeColor="text1"/>
          <w:sz w:val="24"/>
        </w:rPr>
        <w:t>（</w:t>
      </w:r>
      <w:r w:rsidRPr="005F0ABA">
        <w:rPr>
          <w:rFonts w:ascii="宋体" w:hAnsi="宋体"/>
          <w:color w:val="000000" w:themeColor="text1"/>
          <w:sz w:val="24"/>
        </w:rPr>
        <w:t>2）差异化备付金比例计收方式下，</w:t>
      </w:r>
      <w:r w:rsidRPr="005F0ABA">
        <w:rPr>
          <w:rFonts w:ascii="宋体" w:hAnsi="宋体" w:hint="eastAsia"/>
          <w:color w:val="000000" w:themeColor="text1"/>
          <w:sz w:val="24"/>
        </w:rPr>
        <w:t>基金</w:t>
      </w:r>
      <w:r w:rsidRPr="005F0ABA">
        <w:rPr>
          <w:rFonts w:ascii="宋体" w:hAnsi="宋体"/>
          <w:color w:val="000000" w:themeColor="text1"/>
          <w:sz w:val="24"/>
        </w:rPr>
        <w:t>管理人应最晚于资金</w:t>
      </w:r>
      <w:proofErr w:type="gramStart"/>
      <w:r w:rsidRPr="005F0ABA">
        <w:rPr>
          <w:rFonts w:ascii="宋体" w:hAnsi="宋体"/>
          <w:color w:val="000000" w:themeColor="text1"/>
          <w:sz w:val="24"/>
        </w:rPr>
        <w:t>交收日</w:t>
      </w:r>
      <w:r w:rsidRPr="005F0ABA">
        <w:rPr>
          <w:rFonts w:ascii="宋体" w:hAnsi="宋体" w:hint="eastAsia"/>
          <w:color w:val="000000" w:themeColor="text1"/>
          <w:sz w:val="24"/>
        </w:rPr>
        <w:t>上午</w:t>
      </w:r>
      <w:proofErr w:type="gramEnd"/>
      <w:r w:rsidRPr="005F0ABA">
        <w:rPr>
          <w:rFonts w:ascii="宋体" w:hAnsi="宋体"/>
          <w:color w:val="000000" w:themeColor="text1"/>
          <w:sz w:val="24"/>
        </w:rPr>
        <w:t>8：30前补足金额</w:t>
      </w:r>
      <w:r w:rsidRPr="005F0ABA">
        <w:rPr>
          <w:rFonts w:ascii="宋体" w:hAnsi="宋体" w:cs="宋体" w:hint="eastAsia"/>
          <w:color w:val="000000" w:themeColor="text1"/>
          <w:kern w:val="0"/>
          <w:sz w:val="24"/>
        </w:rPr>
        <w:t>。</w:t>
      </w:r>
    </w:p>
    <w:p w14:paraId="717D77F7" w14:textId="02574B8D" w:rsidR="003E6A3F" w:rsidRPr="005F0ABA" w:rsidRDefault="006E6B76">
      <w:pPr>
        <w:adjustRightInd w:val="0"/>
        <w:snapToGrid w:val="0"/>
        <w:spacing w:line="360" w:lineRule="auto"/>
        <w:ind w:firstLine="480"/>
        <w:rPr>
          <w:rFonts w:ascii="宋体" w:hAnsi="宋体" w:cs="宋体"/>
          <w:color w:val="000000" w:themeColor="text1"/>
          <w:kern w:val="0"/>
          <w:sz w:val="24"/>
        </w:rPr>
      </w:pPr>
      <w:r w:rsidRPr="005F0ABA">
        <w:rPr>
          <w:rFonts w:ascii="宋体" w:hAnsi="宋体" w:cs="宋体"/>
          <w:color w:val="000000" w:themeColor="text1"/>
          <w:kern w:val="0"/>
          <w:sz w:val="24"/>
        </w:rPr>
        <w:t>如果未遵循上述规定备足资金头寸，影响基金资产的清算交收及基金托管人与中国证券登记结算有限责任公司之间的一级清算，</w:t>
      </w:r>
      <w:r w:rsidRPr="005F0ABA">
        <w:rPr>
          <w:rFonts w:ascii="宋体" w:hAnsi="宋体" w:cs="宋体" w:hint="eastAsia"/>
          <w:color w:val="000000" w:themeColor="text1"/>
          <w:kern w:val="0"/>
          <w:sz w:val="24"/>
        </w:rPr>
        <w:t>由此给基金托管人、基金资产</w:t>
      </w:r>
      <w:r w:rsidRPr="005F0ABA">
        <w:rPr>
          <w:rFonts w:ascii="宋体" w:hAnsi="宋体" w:cs="宋体"/>
          <w:color w:val="000000" w:themeColor="text1"/>
          <w:kern w:val="0"/>
          <w:sz w:val="24"/>
        </w:rPr>
        <w:t>及基金托管人托管的其他资产</w:t>
      </w:r>
      <w:r w:rsidRPr="005F0ABA">
        <w:rPr>
          <w:rFonts w:ascii="宋体" w:hAnsi="宋体" w:cs="宋体" w:hint="eastAsia"/>
          <w:color w:val="000000" w:themeColor="text1"/>
          <w:kern w:val="0"/>
          <w:sz w:val="24"/>
        </w:rPr>
        <w:t>造成的直接损失由基金管理人负责。</w:t>
      </w:r>
    </w:p>
    <w:p w14:paraId="6D11753E"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宋体" w:hint="eastAsia"/>
          <w:color w:val="000000" w:themeColor="text1"/>
          <w:kern w:val="0"/>
          <w:sz w:val="24"/>
        </w:rPr>
        <w:t>根据中国证券登记结算有限责任公司结算规定，基金管理人在进行融资回购业务时，用于融资回购的债券将作为偿还融资回购到期购回款的质押</w:t>
      </w:r>
      <w:proofErr w:type="gramStart"/>
      <w:r w:rsidRPr="005F0ABA">
        <w:rPr>
          <w:rFonts w:ascii="宋体" w:hAnsi="宋体" w:cs="宋体" w:hint="eastAsia"/>
          <w:color w:val="000000" w:themeColor="text1"/>
          <w:kern w:val="0"/>
          <w:sz w:val="24"/>
        </w:rPr>
        <w:t>券</w:t>
      </w:r>
      <w:proofErr w:type="gramEnd"/>
      <w:r w:rsidRPr="005F0ABA">
        <w:rPr>
          <w:rFonts w:ascii="宋体" w:hAnsi="宋体" w:cs="宋体" w:hint="eastAsia"/>
          <w:color w:val="000000" w:themeColor="text1"/>
          <w:kern w:val="0"/>
          <w:sz w:val="24"/>
        </w:rPr>
        <w:t>。如因基金管理</w:t>
      </w:r>
      <w:proofErr w:type="gramStart"/>
      <w:r w:rsidRPr="005F0ABA">
        <w:rPr>
          <w:rFonts w:ascii="宋体" w:hAnsi="宋体" w:cs="宋体" w:hint="eastAsia"/>
          <w:color w:val="000000" w:themeColor="text1"/>
          <w:kern w:val="0"/>
          <w:sz w:val="24"/>
        </w:rPr>
        <w:t>人原因</w:t>
      </w:r>
      <w:proofErr w:type="gramEnd"/>
      <w:r w:rsidRPr="005F0ABA">
        <w:rPr>
          <w:rFonts w:ascii="宋体" w:hAnsi="宋体" w:cs="宋体" w:hint="eastAsia"/>
          <w:color w:val="000000" w:themeColor="text1"/>
          <w:kern w:val="0"/>
          <w:sz w:val="24"/>
        </w:rPr>
        <w:t>造成债券回购交收违约或因折算率变化造成质押欠库，导致中国证券登记结算有限责任公司欠库扣款或对质押</w:t>
      </w:r>
      <w:proofErr w:type="gramStart"/>
      <w:r w:rsidRPr="005F0ABA">
        <w:rPr>
          <w:rFonts w:ascii="宋体" w:hAnsi="宋体" w:cs="宋体" w:hint="eastAsia"/>
          <w:color w:val="000000" w:themeColor="text1"/>
          <w:kern w:val="0"/>
          <w:sz w:val="24"/>
        </w:rPr>
        <w:t>券</w:t>
      </w:r>
      <w:proofErr w:type="gramEnd"/>
      <w:r w:rsidRPr="005F0ABA">
        <w:rPr>
          <w:rFonts w:ascii="宋体" w:hAnsi="宋体" w:cs="宋体" w:hint="eastAsia"/>
          <w:color w:val="000000" w:themeColor="text1"/>
          <w:kern w:val="0"/>
          <w:sz w:val="24"/>
        </w:rPr>
        <w:t>进行处置造成的投资风险和损失由基金管理人承担。</w:t>
      </w:r>
    </w:p>
    <w:p w14:paraId="51CBC030" w14:textId="32A08A28" w:rsidR="003E6A3F" w:rsidRPr="005F0ABA" w:rsidRDefault="006E6B76">
      <w:pPr>
        <w:adjustRightInd w:val="0"/>
        <w:snapToGrid w:val="0"/>
        <w:spacing w:line="360" w:lineRule="auto"/>
        <w:ind w:firstLine="480"/>
        <w:rPr>
          <w:rFonts w:ascii="宋体" w:hAnsi="宋体" w:cs="宋体"/>
          <w:color w:val="000000" w:themeColor="text1"/>
          <w:kern w:val="0"/>
          <w:sz w:val="24"/>
        </w:rPr>
      </w:pPr>
      <w:r w:rsidRPr="005F0ABA">
        <w:rPr>
          <w:rFonts w:ascii="宋体" w:hAnsi="宋体" w:hint="eastAsia"/>
          <w:color w:val="000000" w:themeColor="text1"/>
          <w:sz w:val="24"/>
        </w:rPr>
        <w:t>对于中国证券登记结算有限责任公司实行</w:t>
      </w:r>
      <w:r w:rsidRPr="005F0ABA">
        <w:rPr>
          <w:rFonts w:ascii="宋体" w:hAnsi="宋体"/>
          <w:color w:val="000000" w:themeColor="text1"/>
          <w:sz w:val="24"/>
        </w:rPr>
        <w:t>T+0</w:t>
      </w:r>
      <w:r w:rsidRPr="005F0ABA">
        <w:rPr>
          <w:rFonts w:ascii="宋体" w:hAnsi="宋体" w:hint="eastAsia"/>
          <w:color w:val="000000" w:themeColor="text1"/>
          <w:sz w:val="24"/>
        </w:rPr>
        <w:t>非担保交收的业务，基金管理人应在交易日</w:t>
      </w:r>
      <w:r w:rsidRPr="005F0ABA">
        <w:rPr>
          <w:rFonts w:ascii="宋体" w:hAnsi="宋体"/>
          <w:color w:val="000000" w:themeColor="text1"/>
          <w:sz w:val="24"/>
        </w:rPr>
        <w:t>14:00前将划款指令发送至</w:t>
      </w:r>
      <w:r w:rsidRPr="005F0ABA">
        <w:rPr>
          <w:rFonts w:ascii="宋体" w:hAnsi="宋体" w:hint="eastAsia"/>
          <w:color w:val="000000" w:themeColor="text1"/>
          <w:sz w:val="24"/>
        </w:rPr>
        <w:t>基金托管人</w:t>
      </w:r>
      <w:r w:rsidRPr="005F0ABA">
        <w:rPr>
          <w:rFonts w:ascii="宋体" w:hAnsi="宋体"/>
          <w:color w:val="000000" w:themeColor="text1"/>
          <w:sz w:val="24"/>
        </w:rPr>
        <w:t>。因</w:t>
      </w:r>
      <w:r w:rsidRPr="005F0ABA">
        <w:rPr>
          <w:rFonts w:ascii="宋体" w:hAnsi="宋体" w:hint="eastAsia"/>
          <w:color w:val="000000" w:themeColor="text1"/>
          <w:sz w:val="24"/>
        </w:rPr>
        <w:t>基金管理人指令传输不及时，致使资金未能及时划入中国结算指定交收账户所造成的损失由基金管理人承担。</w:t>
      </w:r>
      <w:r w:rsidR="00EE1894" w:rsidRPr="005F0ABA">
        <w:rPr>
          <w:rFonts w:ascii="宋体" w:hAnsi="宋体" w:cs="宋体" w:hint="eastAsia"/>
          <w:color w:val="000000" w:themeColor="text1"/>
          <w:kern w:val="0"/>
          <w:sz w:val="24"/>
        </w:rPr>
        <w:t>包括但不限于赔偿在该市场引起其他托管客户交易失败、赔偿因占用结算参与人最低备付金带来的利息损失。</w:t>
      </w:r>
    </w:p>
    <w:p w14:paraId="4FAD009F" w14:textId="53E0FF77" w:rsidR="003E6A3F" w:rsidRPr="005F0ABA" w:rsidRDefault="001B2F02">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lastRenderedPageBreak/>
        <w:t>3</w:t>
      </w:r>
      <w:r w:rsidR="006E6B76" w:rsidRPr="005F0ABA">
        <w:rPr>
          <w:rFonts w:ascii="宋体" w:hAnsi="宋体" w:cs="Arial"/>
          <w:color w:val="000000" w:themeColor="text1"/>
          <w:sz w:val="24"/>
        </w:rPr>
        <w:t>.交易记录、资金和证券</w:t>
      </w:r>
      <w:r w:rsidR="006E6B76" w:rsidRPr="005F0ABA">
        <w:rPr>
          <w:rFonts w:ascii="宋体" w:hAnsi="宋体" w:cs="Arial" w:hint="eastAsia"/>
          <w:color w:val="000000" w:themeColor="text1"/>
          <w:sz w:val="24"/>
        </w:rPr>
        <w:t>/期货</w:t>
      </w:r>
      <w:r w:rsidR="006E6B76" w:rsidRPr="005F0ABA">
        <w:rPr>
          <w:rFonts w:ascii="宋体" w:hAnsi="宋体" w:cs="Arial"/>
          <w:color w:val="000000" w:themeColor="text1"/>
          <w:sz w:val="24"/>
        </w:rPr>
        <w:t>账目核对的时间和方式</w:t>
      </w:r>
    </w:p>
    <w:p w14:paraId="3AFDB0E6"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w:t>
      </w:r>
      <w:r w:rsidRPr="005F0ABA">
        <w:rPr>
          <w:rFonts w:ascii="宋体" w:hAnsi="宋体" w:cs="Arial"/>
          <w:color w:val="000000" w:themeColor="text1"/>
          <w:sz w:val="24"/>
        </w:rPr>
        <w:t>1）交易记录的核对</w:t>
      </w:r>
    </w:p>
    <w:p w14:paraId="317838E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hint="eastAsia"/>
          <w:color w:val="000000" w:themeColor="text1"/>
          <w:kern w:val="0"/>
          <w:sz w:val="24"/>
        </w:rPr>
        <w:t>基金管理人按日进行交易记录的核对。每日对外披露净值之前，必须保证当天所有实际交易记录与基金会计账簿上的交易记录完全一致。如果实际交易记录与会计账簿记录不一致，造成基金会计核算不完整或不真实，由此导致的损失由基金管理人承担。</w:t>
      </w:r>
    </w:p>
    <w:p w14:paraId="6C2CBFFA"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w:t>
      </w:r>
      <w:r w:rsidRPr="005F0ABA">
        <w:rPr>
          <w:rFonts w:ascii="宋体" w:hAnsi="宋体" w:cs="Arial"/>
          <w:color w:val="000000" w:themeColor="text1"/>
          <w:sz w:val="24"/>
        </w:rPr>
        <w:t>2）资金账目的核对</w:t>
      </w:r>
    </w:p>
    <w:p w14:paraId="0BCDB888"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资金账目按日核实。</w:t>
      </w:r>
    </w:p>
    <w:p w14:paraId="6E2D03A8"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w:t>
      </w:r>
      <w:r w:rsidRPr="005F0ABA">
        <w:rPr>
          <w:rFonts w:ascii="宋体" w:hAnsi="宋体" w:cs="Arial"/>
          <w:color w:val="000000" w:themeColor="text1"/>
          <w:sz w:val="24"/>
        </w:rPr>
        <w:t>3）证券</w:t>
      </w:r>
      <w:r w:rsidRPr="005F0ABA">
        <w:rPr>
          <w:rFonts w:ascii="宋体" w:hAnsi="宋体" w:cs="Arial" w:hint="eastAsia"/>
          <w:color w:val="000000" w:themeColor="text1"/>
          <w:sz w:val="24"/>
        </w:rPr>
        <w:t>/期货</w:t>
      </w:r>
      <w:r w:rsidRPr="005F0ABA">
        <w:rPr>
          <w:rFonts w:ascii="宋体" w:hAnsi="宋体" w:cs="Arial"/>
          <w:color w:val="000000" w:themeColor="text1"/>
          <w:sz w:val="24"/>
        </w:rPr>
        <w:t>账目的核对</w:t>
      </w:r>
    </w:p>
    <w:p w14:paraId="4FF24475"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基金管理人和基金托管人每交易日结束后核对基金证券/期货账目，确保双方账目相符。基金管理人和基金托管人每月月末核对实物证券账目。</w:t>
      </w:r>
    </w:p>
    <w:p w14:paraId="1C39233C"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（三）基金申购和赎回业务处理的基本规定</w:t>
      </w:r>
    </w:p>
    <w:p w14:paraId="57096965"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1.基金份额申购、赎回的确认、清算由基金管理人或其委托的注册登记机构负责。</w:t>
      </w:r>
    </w:p>
    <w:p w14:paraId="1F1D352A"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2.基金管理人应将每个开放日的申购、赎回、转换开放式基金的数据传送给基金托管人。基金管理人应对传递的申购、赎回、转换开放式基金的数据真实性负责。基金托管人应及时查收申购及转入资金的到账情况并根据基金管理人指令及时划付赎回及转出款项。</w:t>
      </w:r>
    </w:p>
    <w:p w14:paraId="3E8D4E32"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3.基金管理人应保证本基金（或本基金管理人委托）的注册登记机构每个工作日15:00前向基金托管人发送前一开放</w:t>
      </w:r>
      <w:proofErr w:type="gramStart"/>
      <w:r w:rsidRPr="005F0ABA">
        <w:rPr>
          <w:rFonts w:ascii="宋体" w:hAnsi="宋体" w:cs="Arial"/>
          <w:color w:val="000000" w:themeColor="text1"/>
          <w:sz w:val="24"/>
        </w:rPr>
        <w:t>日上述</w:t>
      </w:r>
      <w:proofErr w:type="gramEnd"/>
      <w:r w:rsidRPr="005F0ABA">
        <w:rPr>
          <w:rFonts w:ascii="宋体" w:hAnsi="宋体" w:cs="Arial"/>
          <w:color w:val="000000" w:themeColor="text1"/>
          <w:sz w:val="24"/>
        </w:rPr>
        <w:t>有关数据，并保证相关数据的准确、完整。</w:t>
      </w:r>
    </w:p>
    <w:p w14:paraId="4DFDA802"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4.注册登记机构应通过与基金托管人建立的加密系统发送有关数据(包括电</w:t>
      </w:r>
      <w:r w:rsidRPr="005F0ABA">
        <w:rPr>
          <w:rFonts w:ascii="宋体" w:hAnsi="宋体" w:cs="Arial" w:hint="eastAsia"/>
          <w:color w:val="000000" w:themeColor="text1"/>
          <w:sz w:val="24"/>
        </w:rPr>
        <w:t>子数据和盖章生效的纸制清算汇总表</w:t>
      </w:r>
      <w:r w:rsidRPr="005F0ABA">
        <w:rPr>
          <w:rFonts w:ascii="宋体" w:hAnsi="宋体" w:cs="Arial"/>
          <w:color w:val="000000" w:themeColor="text1"/>
          <w:sz w:val="24"/>
        </w:rPr>
        <w:t>)，如因各种原因，该系统无法正常发送，双方可协商解决处理方式。基金管理人向基金托管人发送的数据，双方各自按有关规定保存。</w:t>
      </w:r>
    </w:p>
    <w:p w14:paraId="17233862"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5.如基金管理人委托其他机构办理本基金的注册登记业务，应保证上述相关事宜按时进行。否则，由基金管理人承担相应的责任。</w:t>
      </w:r>
    </w:p>
    <w:p w14:paraId="3D36D168"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6.关于清算专用账户的设立和管理</w:t>
      </w:r>
    </w:p>
    <w:p w14:paraId="7B0C5965"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为满足申购、赎回及分红资金汇划的需要，由基金管理人开立资金清算的专用账户，该账户由注册登记机构管理。</w:t>
      </w:r>
    </w:p>
    <w:p w14:paraId="23CE76FF"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lastRenderedPageBreak/>
        <w:t>7.对于基金申购过程中产生的应收款，应由基金管理人负责与有关当事人确定到账日期并通知基金托管人，到账日应收款没有到达基金</w:t>
      </w:r>
      <w:r w:rsidRPr="005F0ABA">
        <w:rPr>
          <w:rFonts w:ascii="宋体" w:hAnsi="宋体" w:cs="Arial" w:hint="eastAsia"/>
          <w:color w:val="000000" w:themeColor="text1"/>
          <w:sz w:val="24"/>
        </w:rPr>
        <w:t>托管</w:t>
      </w:r>
      <w:r w:rsidRPr="005F0ABA">
        <w:rPr>
          <w:rFonts w:ascii="宋体" w:hAnsi="宋体" w:cs="Arial"/>
          <w:color w:val="000000" w:themeColor="text1"/>
          <w:sz w:val="24"/>
        </w:rPr>
        <w:t>资金账户的，基金托管人应及时通知基金管理人采取措施进行催收，由此造成基金损失的，基金管理人应负责向有关当事人追偿基金的损失。</w:t>
      </w:r>
    </w:p>
    <w:p w14:paraId="2305A9DC"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8.赎回和分红资金划拨规定</w:t>
      </w:r>
    </w:p>
    <w:p w14:paraId="2B522288"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拨付</w:t>
      </w:r>
      <w:proofErr w:type="gramStart"/>
      <w:r w:rsidRPr="005F0ABA">
        <w:rPr>
          <w:rFonts w:ascii="宋体" w:hAnsi="宋体" w:cs="Arial" w:hint="eastAsia"/>
          <w:color w:val="000000" w:themeColor="text1"/>
          <w:sz w:val="24"/>
        </w:rPr>
        <w:t>赎回款</w:t>
      </w:r>
      <w:proofErr w:type="gramEnd"/>
      <w:r w:rsidRPr="005F0ABA">
        <w:rPr>
          <w:rFonts w:ascii="宋体" w:hAnsi="宋体" w:cs="Arial" w:hint="eastAsia"/>
          <w:color w:val="000000" w:themeColor="text1"/>
          <w:sz w:val="24"/>
        </w:rPr>
        <w:t>或进行基金分红时，如基金托管资金账户有足够的资金，基金托管人应按时拨付；因基金托管资金账户没有足够的资金，导致基金托管人不能按时拨付，如</w:t>
      </w:r>
      <w:proofErr w:type="gramStart"/>
      <w:r w:rsidRPr="005F0ABA">
        <w:rPr>
          <w:rFonts w:ascii="宋体" w:hAnsi="宋体" w:cs="Arial" w:hint="eastAsia"/>
          <w:color w:val="000000" w:themeColor="text1"/>
          <w:sz w:val="24"/>
        </w:rPr>
        <w:t>系基金</w:t>
      </w:r>
      <w:proofErr w:type="gramEnd"/>
      <w:r w:rsidRPr="005F0ABA">
        <w:rPr>
          <w:rFonts w:ascii="宋体" w:hAnsi="宋体" w:cs="Arial" w:hint="eastAsia"/>
          <w:color w:val="000000" w:themeColor="text1"/>
          <w:sz w:val="24"/>
        </w:rPr>
        <w:t>管理人的原因造成，责任由基金管理人承担，基金托管人不承担垫款义务。</w:t>
      </w:r>
    </w:p>
    <w:p w14:paraId="35CD0EAA"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9.资金指令</w:t>
      </w:r>
    </w:p>
    <w:p w14:paraId="16B85345"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除申购款项到达基金托管资金账户需双方按约定方式对账外，回购到期付款和与投资有关的付款、赎回和分红资金划拨时，基金管理人需向基金托管人下达指令。</w:t>
      </w:r>
    </w:p>
    <w:p w14:paraId="3AC52796"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资金指令的格式、内容、发送、接收和确认方式等与投资指令相同。</w:t>
      </w:r>
    </w:p>
    <w:p w14:paraId="388C772A"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（四）</w:t>
      </w:r>
      <w:proofErr w:type="gramStart"/>
      <w:r w:rsidRPr="005F0ABA">
        <w:rPr>
          <w:rFonts w:ascii="宋体" w:hAnsi="宋体" w:cs="Arial" w:hint="eastAsia"/>
          <w:color w:val="000000" w:themeColor="text1"/>
          <w:sz w:val="24"/>
        </w:rPr>
        <w:t>申赎净额</w:t>
      </w:r>
      <w:proofErr w:type="gramEnd"/>
      <w:r w:rsidRPr="005F0ABA">
        <w:rPr>
          <w:rFonts w:ascii="宋体" w:hAnsi="宋体" w:cs="Arial" w:hint="eastAsia"/>
          <w:color w:val="000000" w:themeColor="text1"/>
          <w:sz w:val="24"/>
        </w:rPr>
        <w:t>结算</w:t>
      </w:r>
    </w:p>
    <w:p w14:paraId="3BF6FA29" w14:textId="3183B27C" w:rsidR="003E6A3F" w:rsidRPr="005F0ABA" w:rsidRDefault="006E6B76" w:rsidP="00E73101">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基金申购、赎回等款项采用</w:t>
      </w:r>
      <w:proofErr w:type="gramStart"/>
      <w:r w:rsidRPr="005F0ABA">
        <w:rPr>
          <w:rFonts w:ascii="宋体" w:hAnsi="宋体" w:cs="Arial" w:hint="eastAsia"/>
          <w:color w:val="000000" w:themeColor="text1"/>
          <w:sz w:val="24"/>
        </w:rPr>
        <w:t>轧差交收</w:t>
      </w:r>
      <w:proofErr w:type="gramEnd"/>
      <w:r w:rsidRPr="005F0ABA">
        <w:rPr>
          <w:rFonts w:ascii="宋体" w:hAnsi="宋体" w:cs="Arial" w:hint="eastAsia"/>
          <w:color w:val="000000" w:themeColor="text1"/>
          <w:sz w:val="24"/>
        </w:rPr>
        <w:t>的结算方式，基金托管资金账户与“注册登记清算账户”间，申购款实行</w:t>
      </w:r>
      <w:r w:rsidRPr="005F0ABA">
        <w:rPr>
          <w:rFonts w:ascii="宋体" w:hAnsi="宋体" w:cs="Arial"/>
          <w:color w:val="000000" w:themeColor="text1"/>
          <w:sz w:val="24"/>
        </w:rPr>
        <w:t>T+2</w:t>
      </w:r>
      <w:r w:rsidRPr="005F0ABA">
        <w:rPr>
          <w:rFonts w:ascii="宋体" w:hAnsi="宋体" w:cs="Arial" w:hint="eastAsia"/>
          <w:color w:val="000000" w:themeColor="text1"/>
          <w:sz w:val="24"/>
        </w:rPr>
        <w:t>日内交收，</w:t>
      </w:r>
      <w:proofErr w:type="gramStart"/>
      <w:r w:rsidRPr="005F0ABA">
        <w:rPr>
          <w:rFonts w:ascii="宋体" w:hAnsi="宋体" w:cs="Arial" w:hint="eastAsia"/>
          <w:color w:val="000000" w:themeColor="text1"/>
          <w:sz w:val="24"/>
        </w:rPr>
        <w:t>赎回款</w:t>
      </w:r>
      <w:proofErr w:type="gramEnd"/>
      <w:r w:rsidRPr="005F0ABA">
        <w:rPr>
          <w:rFonts w:ascii="宋体" w:hAnsi="宋体" w:cs="Arial" w:hint="eastAsia"/>
          <w:color w:val="000000" w:themeColor="text1"/>
          <w:sz w:val="24"/>
        </w:rPr>
        <w:t>实行</w:t>
      </w:r>
      <w:r w:rsidRPr="005F0ABA">
        <w:rPr>
          <w:rFonts w:ascii="宋体" w:hAnsi="宋体" w:cs="Arial"/>
          <w:color w:val="000000" w:themeColor="text1"/>
          <w:sz w:val="24"/>
        </w:rPr>
        <w:t>T+3</w:t>
      </w:r>
      <w:r w:rsidRPr="005F0ABA">
        <w:rPr>
          <w:rFonts w:ascii="宋体" w:hAnsi="宋体" w:cs="Arial" w:hint="eastAsia"/>
          <w:color w:val="000000" w:themeColor="text1"/>
          <w:sz w:val="24"/>
        </w:rPr>
        <w:t>日内交收。</w:t>
      </w:r>
    </w:p>
    <w:p w14:paraId="0CE7C2E0" w14:textId="696D0D8B"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基金托管资金账户与“基金清算账户”间的资金结算遵循“全额清算、净额交收”的原则，每日</w:t>
      </w:r>
      <w:r w:rsidRPr="005F0ABA">
        <w:rPr>
          <w:rFonts w:ascii="宋体" w:hAnsi="宋体" w:cs="Arial"/>
          <w:color w:val="000000" w:themeColor="text1"/>
          <w:sz w:val="24"/>
        </w:rPr>
        <w:t>(T日：资金交收日，下同)按照托管</w:t>
      </w:r>
      <w:r w:rsidRPr="005F0ABA">
        <w:rPr>
          <w:rFonts w:ascii="宋体" w:hAnsi="宋体" w:cs="Arial" w:hint="eastAsia"/>
          <w:color w:val="000000" w:themeColor="text1"/>
          <w:sz w:val="24"/>
        </w:rPr>
        <w:t>资金</w:t>
      </w:r>
      <w:r w:rsidRPr="005F0ABA">
        <w:rPr>
          <w:rFonts w:ascii="宋体" w:hAnsi="宋体" w:cs="Arial"/>
          <w:color w:val="000000" w:themeColor="text1"/>
          <w:sz w:val="24"/>
        </w:rPr>
        <w:t>账户应收资金</w:t>
      </w:r>
      <w:r w:rsidRPr="005F0ABA">
        <w:rPr>
          <w:rFonts w:ascii="宋体" w:hAnsi="宋体" w:cs="Arial" w:hint="eastAsia"/>
          <w:color w:val="000000" w:themeColor="text1"/>
          <w:sz w:val="24"/>
        </w:rPr>
        <w:t>与应付资金的差额来确定托管资金账户净应收额或净应付额，以此确定资金交收额。当存在托管资金账户净应收额时，基金管理人应在</w:t>
      </w:r>
      <w:r w:rsidRPr="005F0ABA">
        <w:rPr>
          <w:rFonts w:ascii="宋体" w:hAnsi="宋体" w:cs="Arial"/>
          <w:color w:val="000000" w:themeColor="text1"/>
          <w:sz w:val="24"/>
        </w:rPr>
        <w:t>T日15:00之前从基金清算账户划到基金托管</w:t>
      </w:r>
      <w:r w:rsidRPr="005F0ABA">
        <w:rPr>
          <w:rFonts w:ascii="宋体" w:hAnsi="宋体" w:cs="Arial" w:hint="eastAsia"/>
          <w:color w:val="000000" w:themeColor="text1"/>
          <w:sz w:val="24"/>
        </w:rPr>
        <w:t>资金</w:t>
      </w:r>
      <w:r w:rsidRPr="005F0ABA">
        <w:rPr>
          <w:rFonts w:ascii="宋体" w:hAnsi="宋体" w:cs="Arial"/>
          <w:color w:val="000000" w:themeColor="text1"/>
          <w:sz w:val="24"/>
        </w:rPr>
        <w:t>账户；当存在托管</w:t>
      </w:r>
      <w:r w:rsidRPr="005F0ABA">
        <w:rPr>
          <w:rFonts w:ascii="宋体" w:hAnsi="宋体" w:cs="Arial" w:hint="eastAsia"/>
          <w:color w:val="000000" w:themeColor="text1"/>
          <w:sz w:val="24"/>
        </w:rPr>
        <w:t>资金</w:t>
      </w:r>
      <w:r w:rsidRPr="005F0ABA">
        <w:rPr>
          <w:rFonts w:ascii="宋体" w:hAnsi="宋体" w:cs="Arial"/>
          <w:color w:val="000000" w:themeColor="text1"/>
          <w:sz w:val="24"/>
        </w:rPr>
        <w:t>账户净应付额时，基金管理人应在</w:t>
      </w:r>
      <w:r w:rsidR="00176844" w:rsidRPr="005F0ABA">
        <w:rPr>
          <w:rFonts w:ascii="宋体" w:hAnsi="宋体" w:cs="Arial" w:hint="eastAsia"/>
          <w:color w:val="000000" w:themeColor="text1"/>
          <w:sz w:val="24"/>
        </w:rPr>
        <w:t>T</w:t>
      </w:r>
      <w:r w:rsidRPr="005F0ABA">
        <w:rPr>
          <w:rFonts w:ascii="宋体" w:hAnsi="宋体" w:cs="Arial"/>
          <w:color w:val="000000" w:themeColor="text1"/>
          <w:sz w:val="24"/>
        </w:rPr>
        <w:t>日</w:t>
      </w:r>
      <w:r w:rsidR="00176844" w:rsidRPr="005F0ABA">
        <w:rPr>
          <w:rFonts w:ascii="宋体" w:hAnsi="宋体" w:cs="Arial" w:hint="eastAsia"/>
          <w:color w:val="000000" w:themeColor="text1"/>
          <w:sz w:val="24"/>
        </w:rPr>
        <w:t>1</w:t>
      </w:r>
      <w:r w:rsidR="00176844" w:rsidRPr="005F0ABA">
        <w:rPr>
          <w:rFonts w:ascii="宋体" w:hAnsi="宋体" w:cs="Arial"/>
          <w:color w:val="000000" w:themeColor="text1"/>
          <w:sz w:val="24"/>
        </w:rPr>
        <w:t>0</w:t>
      </w:r>
      <w:r w:rsidR="00176844" w:rsidRPr="005F0ABA">
        <w:rPr>
          <w:rFonts w:ascii="宋体" w:hAnsi="宋体" w:cs="Arial" w:hint="eastAsia"/>
          <w:color w:val="000000" w:themeColor="text1"/>
          <w:sz w:val="24"/>
        </w:rPr>
        <w:t>：0</w:t>
      </w:r>
      <w:r w:rsidR="00176844" w:rsidRPr="005F0ABA">
        <w:rPr>
          <w:rFonts w:ascii="宋体" w:hAnsi="宋体" w:cs="Arial"/>
          <w:color w:val="000000" w:themeColor="text1"/>
          <w:sz w:val="24"/>
        </w:rPr>
        <w:t>0</w:t>
      </w:r>
      <w:r w:rsidR="00176844" w:rsidRPr="005F0ABA">
        <w:rPr>
          <w:rFonts w:ascii="宋体" w:hAnsi="宋体" w:cs="Arial" w:hint="eastAsia"/>
          <w:color w:val="000000" w:themeColor="text1"/>
          <w:sz w:val="24"/>
        </w:rPr>
        <w:t>前</w:t>
      </w:r>
      <w:r w:rsidRPr="005F0ABA">
        <w:rPr>
          <w:rFonts w:ascii="宋体" w:hAnsi="宋体" w:cs="Arial"/>
          <w:color w:val="000000" w:themeColor="text1"/>
          <w:sz w:val="24"/>
        </w:rPr>
        <w:t>将划款指令发送给基金托管人，基金托管人按基金管理人的划款指令将托管</w:t>
      </w:r>
      <w:r w:rsidRPr="005F0ABA">
        <w:rPr>
          <w:rFonts w:ascii="宋体" w:hAnsi="宋体" w:cs="Arial" w:hint="eastAsia"/>
          <w:color w:val="000000" w:themeColor="text1"/>
          <w:sz w:val="24"/>
        </w:rPr>
        <w:t>资金</w:t>
      </w:r>
      <w:r w:rsidRPr="005F0ABA">
        <w:rPr>
          <w:rFonts w:ascii="宋体" w:hAnsi="宋体" w:cs="Arial"/>
          <w:color w:val="000000" w:themeColor="text1"/>
          <w:sz w:val="24"/>
        </w:rPr>
        <w:t>账户净应付额在T日</w:t>
      </w:r>
      <w:r w:rsidR="00176844" w:rsidRPr="005F0ABA">
        <w:rPr>
          <w:rFonts w:ascii="宋体" w:hAnsi="宋体" w:cs="Arial"/>
          <w:color w:val="000000" w:themeColor="text1"/>
          <w:sz w:val="24"/>
        </w:rPr>
        <w:t>15</w:t>
      </w:r>
      <w:r w:rsidRPr="005F0ABA">
        <w:rPr>
          <w:rFonts w:ascii="宋体" w:hAnsi="宋体" w:cs="Arial"/>
          <w:color w:val="000000" w:themeColor="text1"/>
          <w:sz w:val="24"/>
        </w:rPr>
        <w:t>:00之前</w:t>
      </w:r>
      <w:proofErr w:type="gramStart"/>
      <w:r w:rsidRPr="005F0ABA">
        <w:rPr>
          <w:rFonts w:ascii="宋体" w:hAnsi="宋体" w:cs="Arial"/>
          <w:color w:val="000000" w:themeColor="text1"/>
          <w:sz w:val="24"/>
        </w:rPr>
        <w:t>划往基金</w:t>
      </w:r>
      <w:proofErr w:type="gramEnd"/>
      <w:r w:rsidRPr="005F0ABA">
        <w:rPr>
          <w:rFonts w:ascii="宋体" w:hAnsi="宋体" w:cs="Arial"/>
          <w:color w:val="000000" w:themeColor="text1"/>
          <w:sz w:val="24"/>
        </w:rPr>
        <w:t>清算账户。</w:t>
      </w:r>
    </w:p>
    <w:p w14:paraId="167C1C86"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（五）基金转换</w:t>
      </w:r>
    </w:p>
    <w:p w14:paraId="03082ED5" w14:textId="5878FFF4"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1.基金托管人将根据基金管理人传送的基金转换数据进行账务处理，</w:t>
      </w:r>
      <w:proofErr w:type="gramStart"/>
      <w:r w:rsidRPr="005F0ABA">
        <w:rPr>
          <w:rFonts w:ascii="宋体" w:hAnsi="宋体" w:cs="Arial"/>
          <w:color w:val="000000" w:themeColor="text1"/>
          <w:sz w:val="24"/>
        </w:rPr>
        <w:t>具体资金</w:t>
      </w:r>
      <w:proofErr w:type="gramEnd"/>
      <w:r w:rsidRPr="005F0ABA">
        <w:rPr>
          <w:rFonts w:ascii="宋体" w:hAnsi="宋体" w:cs="Arial"/>
          <w:color w:val="000000" w:themeColor="text1"/>
          <w:sz w:val="24"/>
        </w:rPr>
        <w:t>清算和数据传递的时间、程序及托管协议当事人承担的权责按基金管理人届时的公告执行。</w:t>
      </w:r>
    </w:p>
    <w:p w14:paraId="6BF952AE" w14:textId="3500132D"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2.本基金开展基金转换业务应按相关法律法规规定及《基金合同》的约定进行公告。</w:t>
      </w:r>
    </w:p>
    <w:p w14:paraId="56E5CAFB"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lastRenderedPageBreak/>
        <w:t>（六）基金现金分红</w:t>
      </w:r>
    </w:p>
    <w:p w14:paraId="48A8F3FF"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1.基金管理人确定分红方案通知基金托管人，双方核定后依照《信息披露办法》的有关规定在中国证监会规定媒介</w:t>
      </w:r>
      <w:r w:rsidRPr="005F0ABA">
        <w:rPr>
          <w:rFonts w:ascii="宋体" w:hAnsi="宋体" w:cs="Arial" w:hint="eastAsia"/>
          <w:color w:val="000000" w:themeColor="text1"/>
          <w:sz w:val="24"/>
        </w:rPr>
        <w:t>上公告。</w:t>
      </w:r>
    </w:p>
    <w:p w14:paraId="14A55E4C" w14:textId="77777777" w:rsidR="003E6A3F" w:rsidRPr="005F0ABA" w:rsidRDefault="006E6B76">
      <w:pPr>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2.基金托管人和基金管理人对基金分红进行账务处理并核对后，基金管理人向基金托管人发送现金红利的划款指令，基金托管人应及时将资金划入专用账户。</w:t>
      </w:r>
    </w:p>
    <w:p w14:paraId="271F493A" w14:textId="77777777" w:rsidR="003E6A3F" w:rsidRPr="005F0ABA" w:rsidRDefault="006E6B76">
      <w:pPr>
        <w:spacing w:line="360" w:lineRule="auto"/>
        <w:ind w:firstLine="480"/>
        <w:rPr>
          <w:rFonts w:ascii="宋体" w:hAnsi="宋体" w:cs="Arial"/>
          <w:color w:val="000000" w:themeColor="text1"/>
          <w:sz w:val="24"/>
        </w:rPr>
      </w:pPr>
      <w:r w:rsidRPr="005F0ABA">
        <w:rPr>
          <w:rFonts w:ascii="宋体" w:hAnsi="宋体" w:cs="Arial"/>
          <w:color w:val="000000" w:themeColor="text1"/>
          <w:sz w:val="24"/>
        </w:rPr>
        <w:t>3.基金管理人在下达指令时，应给基金托管人留出必需的划款时间。</w:t>
      </w:r>
    </w:p>
    <w:p w14:paraId="7648F1B6" w14:textId="77777777" w:rsidR="003E6A3F" w:rsidRPr="005F0ABA" w:rsidRDefault="006E6B76">
      <w:pPr>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（七）投资银行存款的特别约定</w:t>
      </w:r>
    </w:p>
    <w:p w14:paraId="676DC36F" w14:textId="77777777" w:rsidR="003E6A3F" w:rsidRPr="005F0ABA" w:rsidRDefault="006E6B76">
      <w:pPr>
        <w:spacing w:line="360" w:lineRule="auto"/>
        <w:ind w:firstLine="480"/>
        <w:rPr>
          <w:rFonts w:ascii="宋体" w:hAnsi="宋体" w:cs="Arial"/>
          <w:color w:val="000000" w:themeColor="text1"/>
          <w:sz w:val="24"/>
        </w:rPr>
      </w:pPr>
      <w:r w:rsidRPr="005F0ABA">
        <w:rPr>
          <w:rFonts w:ascii="宋体" w:hAnsi="宋体" w:cs="Arial"/>
          <w:color w:val="000000" w:themeColor="text1"/>
          <w:sz w:val="24"/>
        </w:rPr>
        <w:t>1.本基金投资银行存款前，基金管理人应与存款银行签订具体存款协议，包括但不限于以下内容：</w:t>
      </w:r>
    </w:p>
    <w:p w14:paraId="78EF5DF3" w14:textId="5EEC6F86" w:rsidR="003E6A3F" w:rsidRPr="005F0ABA" w:rsidRDefault="006E6B76">
      <w:pPr>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w:t>
      </w:r>
      <w:r w:rsidRPr="005F0ABA">
        <w:rPr>
          <w:rFonts w:ascii="宋体" w:hAnsi="宋体" w:cs="Arial"/>
          <w:color w:val="000000" w:themeColor="text1"/>
          <w:sz w:val="24"/>
        </w:rPr>
        <w:t>1）存款账户必须以本基金名义开立,并将基金托管人为本基金开立的基金</w:t>
      </w:r>
      <w:r w:rsidRPr="005F0ABA">
        <w:rPr>
          <w:rFonts w:ascii="宋体" w:hAnsi="宋体" w:cs="Arial" w:hint="eastAsia"/>
          <w:color w:val="000000" w:themeColor="text1"/>
          <w:sz w:val="24"/>
        </w:rPr>
        <w:t>托管资金</w:t>
      </w:r>
      <w:r w:rsidRPr="005F0ABA">
        <w:rPr>
          <w:rFonts w:ascii="宋体" w:hAnsi="宋体" w:cs="Arial"/>
          <w:color w:val="000000" w:themeColor="text1"/>
          <w:sz w:val="24"/>
        </w:rPr>
        <w:t>账户指定为唯一回款账户，任何情况下，存款银行都不得将存款投资</w:t>
      </w:r>
      <w:proofErr w:type="gramStart"/>
      <w:r w:rsidRPr="005F0ABA">
        <w:rPr>
          <w:rFonts w:ascii="宋体" w:hAnsi="宋体" w:cs="Arial"/>
          <w:color w:val="000000" w:themeColor="text1"/>
          <w:sz w:val="24"/>
        </w:rPr>
        <w:t>本息划往任何</w:t>
      </w:r>
      <w:proofErr w:type="gramEnd"/>
      <w:r w:rsidRPr="005F0ABA">
        <w:rPr>
          <w:rFonts w:ascii="宋体" w:hAnsi="宋体" w:cs="Arial"/>
          <w:color w:val="000000" w:themeColor="text1"/>
          <w:sz w:val="24"/>
        </w:rPr>
        <w:t>其他账户。</w:t>
      </w:r>
    </w:p>
    <w:p w14:paraId="60146B41" w14:textId="77777777" w:rsidR="003E6A3F" w:rsidRPr="005F0ABA" w:rsidRDefault="006E6B76">
      <w:pPr>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w:t>
      </w:r>
      <w:r w:rsidRPr="005F0ABA">
        <w:rPr>
          <w:rFonts w:ascii="宋体" w:hAnsi="宋体" w:cs="Arial"/>
          <w:color w:val="000000" w:themeColor="text1"/>
          <w:sz w:val="24"/>
        </w:rPr>
        <w:t>2）存款银行不得接受基金管理人或基金托管人任何一方单方面提出的对存款进行更名、转让、挂失、质押、担保、撤销、变更印鉴及回款账户信息等可能导致财产转移的操作申请。</w:t>
      </w:r>
    </w:p>
    <w:p w14:paraId="0A63885D" w14:textId="77777777" w:rsidR="003E6A3F" w:rsidRPr="005F0ABA" w:rsidRDefault="006E6B76">
      <w:pPr>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w:t>
      </w:r>
      <w:r w:rsidRPr="005F0ABA">
        <w:rPr>
          <w:rFonts w:ascii="宋体" w:hAnsi="宋体" w:cs="Arial"/>
          <w:color w:val="000000" w:themeColor="text1"/>
          <w:sz w:val="24"/>
        </w:rPr>
        <w:t>3）约定存款证实书的具体传递交接方式及交接期限。</w:t>
      </w:r>
    </w:p>
    <w:p w14:paraId="277312E8" w14:textId="77777777" w:rsidR="003E6A3F" w:rsidRPr="005F0ABA" w:rsidRDefault="006E6B76">
      <w:pPr>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w:t>
      </w:r>
      <w:r w:rsidRPr="005F0ABA">
        <w:rPr>
          <w:rFonts w:ascii="宋体" w:hAnsi="宋体" w:cs="Arial"/>
          <w:color w:val="000000" w:themeColor="text1"/>
          <w:sz w:val="24"/>
        </w:rPr>
        <w:t>4）资金划转过程中需要使用存款银行过渡账户的，存款银行须保证资金在过渡账户中不出现滞留，不被挪用。</w:t>
      </w:r>
    </w:p>
    <w:p w14:paraId="04A90DD3"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2.本基金投资银行存款，必须采用双方认可的方式办理。</w:t>
      </w:r>
      <w:r w:rsidRPr="005F0ABA">
        <w:rPr>
          <w:rFonts w:ascii="宋体" w:hAnsi="宋体" w:cs="Arial" w:hint="eastAsia"/>
          <w:color w:val="000000" w:themeColor="text1"/>
          <w:sz w:val="24"/>
        </w:rPr>
        <w:t>基金托管人负责依据管理人提供的银行存款投资合同</w:t>
      </w:r>
      <w:r w:rsidRPr="005F0ABA">
        <w:rPr>
          <w:rFonts w:ascii="宋体" w:hAnsi="宋体" w:cs="Arial"/>
          <w:color w:val="000000" w:themeColor="text1"/>
          <w:sz w:val="24"/>
        </w:rPr>
        <w:t>/协议、投资指令、支取通知等有关文件办理资金的支付以及存款证实书的接收、保管与交付，切实履行托管职责。</w:t>
      </w:r>
      <w:r w:rsidRPr="005F0ABA">
        <w:rPr>
          <w:rFonts w:ascii="宋体" w:hAnsi="宋体" w:cs="Arial" w:hint="eastAsia"/>
          <w:color w:val="000000" w:themeColor="text1"/>
          <w:sz w:val="24"/>
        </w:rPr>
        <w:t>基金托管人负责对存款开户证实书进行保管，不负责对存款开户证实书真伪的辨别，不承担存款开户证实书对应存款的本金及收益的安全。</w:t>
      </w:r>
    </w:p>
    <w:p w14:paraId="64840C53"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 xml:space="preserve">3. </w:t>
      </w:r>
      <w:r w:rsidRPr="005F0ABA">
        <w:rPr>
          <w:rFonts w:ascii="宋体" w:hAnsi="宋体" w:cs="Arial" w:hint="eastAsia"/>
          <w:color w:val="000000" w:themeColor="text1"/>
          <w:sz w:val="24"/>
        </w:rPr>
        <w:t>基金管理人投资银行存款或办理存款支取时，应提前书面通知基金托管人，以便基金托管人有足够的时间履行相应的业务操作程序。因发生逾期支取、提前支取或部分提前支取，基金托管人不承担相应利息损失及逾期支取手续费。</w:t>
      </w:r>
    </w:p>
    <w:p w14:paraId="38D9C097" w14:textId="77777777" w:rsidR="003E6A3F" w:rsidRPr="005F0ABA" w:rsidRDefault="006E6B76">
      <w:pPr>
        <w:pStyle w:val="a0"/>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4.对于已移交</w:t>
      </w:r>
      <w:r w:rsidRPr="005F0ABA">
        <w:rPr>
          <w:rFonts w:ascii="宋体" w:hAnsi="宋体" w:cs="Arial" w:hint="eastAsia"/>
          <w:color w:val="000000" w:themeColor="text1"/>
          <w:sz w:val="24"/>
        </w:rPr>
        <w:t>基金托管人保管的存款开户证实书等实物凭证，基金托管人应确保安全保管；对未按约定将存款开户证实书等实物凭证移交基金托管人保管的，基金托管人应向基金管理人进行必要的催缴和风险提示；提示后仍不将相关实物凭证送达基金托管人保管的，出于托管履职和尽责，基金托管人可视情况采取必要</w:t>
      </w:r>
      <w:r w:rsidRPr="005F0ABA">
        <w:rPr>
          <w:rFonts w:ascii="宋体" w:hAnsi="宋体" w:cs="Arial" w:hint="eastAsia"/>
          <w:color w:val="000000" w:themeColor="text1"/>
          <w:sz w:val="24"/>
        </w:rPr>
        <w:lastRenderedPageBreak/>
        <w:t>的风险控制措施：（1）建立风险预警机制，对于实物凭证未送达集中度较高的存款银行，主动发函提示基金管理人尽量避免在此类银行进行存款投资；（</w:t>
      </w:r>
      <w:r w:rsidRPr="005F0ABA">
        <w:rPr>
          <w:rFonts w:ascii="宋体" w:hAnsi="宋体" w:cs="Arial"/>
          <w:color w:val="000000" w:themeColor="text1"/>
          <w:sz w:val="24"/>
        </w:rPr>
        <w:t>2）在定期报告中，对未按约定送达</w:t>
      </w:r>
      <w:r w:rsidRPr="005F0ABA">
        <w:rPr>
          <w:rFonts w:ascii="宋体" w:hAnsi="宋体" w:cs="Arial" w:hint="eastAsia"/>
          <w:color w:val="000000" w:themeColor="text1"/>
          <w:sz w:val="24"/>
        </w:rPr>
        <w:t>基金托管人保管的实物凭证信息进行规定范围信息披露；（3）未送达实物凭证超过送单截止日后</w:t>
      </w:r>
      <w:r w:rsidRPr="005F0ABA">
        <w:rPr>
          <w:rFonts w:ascii="宋体" w:hAnsi="宋体" w:cs="Arial"/>
          <w:color w:val="000000" w:themeColor="text1"/>
          <w:sz w:val="24"/>
        </w:rPr>
        <w:t>30个工作日，且累计超过3笔（含）以上的，部分或全部暂停配合</w:t>
      </w:r>
      <w:r w:rsidRPr="005F0ABA">
        <w:rPr>
          <w:rFonts w:ascii="宋体" w:hAnsi="宋体" w:cs="Arial" w:hint="eastAsia"/>
          <w:color w:val="000000" w:themeColor="text1"/>
          <w:sz w:val="24"/>
        </w:rPr>
        <w:t>基金管理人办理后续新增存款投资业务，直至实物凭证送达基金托管人保管后解除。实物凭证未送达但存款本息已安全划回托管账户的，以及因发生特殊情况由基金管理人提供相关书面说明并重新承诺送单截止时间的，可剔除不计。</w:t>
      </w:r>
    </w:p>
    <w:p w14:paraId="14BE450A" w14:textId="77777777" w:rsidR="003E6A3F" w:rsidRPr="005F0ABA" w:rsidRDefault="003E6A3F">
      <w:pPr>
        <w:adjustRightInd w:val="0"/>
        <w:snapToGrid w:val="0"/>
        <w:spacing w:line="360" w:lineRule="auto"/>
        <w:ind w:firstLineChars="200" w:firstLine="480"/>
        <w:rPr>
          <w:rFonts w:ascii="宋体" w:hAnsi="宋体" w:cs="Arial"/>
          <w:color w:val="000000" w:themeColor="text1"/>
          <w:sz w:val="24"/>
        </w:rPr>
      </w:pPr>
    </w:p>
    <w:p w14:paraId="626B3E7D"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88" w:name="_Toc124325892"/>
      <w:r w:rsidRPr="005F0ABA">
        <w:rPr>
          <w:rFonts w:ascii="宋体" w:eastAsia="宋体" w:hAnsi="宋体" w:hint="eastAsia"/>
          <w:color w:val="000000" w:themeColor="text1"/>
          <w:sz w:val="30"/>
        </w:rPr>
        <w:t>八、基金资产净值计算和会计核算</w:t>
      </w:r>
      <w:bookmarkEnd w:id="88"/>
    </w:p>
    <w:p w14:paraId="4749218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（一）基金资产净值的计算、复核与完成的时间及程序</w:t>
      </w:r>
    </w:p>
    <w:p w14:paraId="5B98AD0F"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1.基金资产净值是指基金资产总值减去基金负债后的金额。各类别基金份额净值是按照每个工作日闭市后，各类别基金份额的基金资产净值除以当日相应类别基金份额的余额数量计算，均精确到</w:t>
      </w:r>
      <w:r w:rsidRPr="005F0ABA">
        <w:rPr>
          <w:rFonts w:ascii="宋体" w:hAnsi="宋体" w:cs="Arial"/>
          <w:color w:val="000000" w:themeColor="text1"/>
          <w:sz w:val="24"/>
        </w:rPr>
        <w:t>0.0001元，小数点后第</w:t>
      </w:r>
      <w:r w:rsidRPr="005F0ABA">
        <w:rPr>
          <w:rFonts w:ascii="宋体" w:hAnsi="宋体" w:cs="Arial" w:hint="eastAsia"/>
          <w:color w:val="000000" w:themeColor="text1"/>
          <w:sz w:val="24"/>
        </w:rPr>
        <w:t>五位四舍五入，由此产生的收益或损失由基金财产承担。基金管理人可以设立大额赎回情形下的净值精度应急调整机制。国家另有规定的，从其规定。</w:t>
      </w:r>
    </w:p>
    <w:p w14:paraId="0B33F0F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w:t>
      </w:r>
      <w:proofErr w:type="gramStart"/>
      <w:r w:rsidRPr="005F0ABA">
        <w:rPr>
          <w:rFonts w:ascii="宋体" w:hAnsi="宋体" w:cs="Arial" w:hint="eastAsia"/>
          <w:color w:val="000000" w:themeColor="text1"/>
          <w:sz w:val="24"/>
        </w:rPr>
        <w:t>应每个</w:t>
      </w:r>
      <w:proofErr w:type="gramEnd"/>
      <w:r w:rsidRPr="005F0ABA">
        <w:rPr>
          <w:rFonts w:ascii="宋体" w:hAnsi="宋体" w:cs="Arial" w:hint="eastAsia"/>
          <w:color w:val="000000" w:themeColor="text1"/>
          <w:sz w:val="24"/>
        </w:rPr>
        <w:t>估值日计算基金资产净值及各类别基金份额净值，经基金托管人复核，并按规定公告。</w:t>
      </w:r>
    </w:p>
    <w:p w14:paraId="62AF14E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2.基金管理人</w:t>
      </w:r>
      <w:proofErr w:type="gramStart"/>
      <w:r w:rsidRPr="005F0ABA">
        <w:rPr>
          <w:rFonts w:ascii="宋体" w:hAnsi="宋体" w:cs="Arial"/>
          <w:color w:val="000000" w:themeColor="text1"/>
          <w:sz w:val="24"/>
        </w:rPr>
        <w:t>应每</w:t>
      </w:r>
      <w:r w:rsidRPr="005F0ABA">
        <w:rPr>
          <w:rFonts w:ascii="宋体" w:hAnsi="宋体" w:cs="Arial" w:hint="eastAsia"/>
          <w:color w:val="000000" w:themeColor="text1"/>
          <w:sz w:val="24"/>
        </w:rPr>
        <w:t>个</w:t>
      </w:r>
      <w:proofErr w:type="gramEnd"/>
      <w:r w:rsidRPr="005F0ABA">
        <w:rPr>
          <w:rFonts w:ascii="宋体" w:hAnsi="宋体" w:cs="Arial" w:hint="eastAsia"/>
          <w:color w:val="000000" w:themeColor="text1"/>
          <w:sz w:val="24"/>
        </w:rPr>
        <w:t>估值日对基金资产估值。但基金管理人根据法律法规或《基金合同》的规定暂停估值时除外。基金管理人每个估值日对基金资产估值后，将基金资产净值、各类别基金份额净值结果发送基金托管人，经基金托管人复核无误后，由基金管理人按规定对外公布。</w:t>
      </w:r>
    </w:p>
    <w:p w14:paraId="71C0F8F1" w14:textId="77777777" w:rsidR="003E6A3F" w:rsidRPr="005F0ABA" w:rsidRDefault="006E6B76">
      <w:pPr>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（二）基金资产估值方法和特殊情形的处理</w:t>
      </w:r>
    </w:p>
    <w:p w14:paraId="131B236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1.估值对象</w:t>
      </w:r>
    </w:p>
    <w:p w14:paraId="1329BE9F"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基金所拥有的债券、资产支持证券、国债期货合约和银行存款本息、信用衍生品、应收款项、其它投资等资产及负债。</w:t>
      </w:r>
    </w:p>
    <w:p w14:paraId="4382A6F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2.估值方法</w:t>
      </w:r>
    </w:p>
    <w:p w14:paraId="064B227A" w14:textId="576BBD29" w:rsidR="003E6A3F" w:rsidRPr="005F0ABA" w:rsidRDefault="006E6B76" w:rsidP="00176844">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Pr="005F0ABA">
        <w:rPr>
          <w:rFonts w:ascii="宋体" w:hAnsi="宋体" w:cs="Arial"/>
          <w:color w:val="000000" w:themeColor="text1"/>
          <w:sz w:val="24"/>
        </w:rPr>
        <w:t>1</w:t>
      </w:r>
      <w:r w:rsidRPr="005F0ABA">
        <w:rPr>
          <w:rFonts w:ascii="宋体" w:hAnsi="宋体" w:cs="Arial" w:hint="eastAsia"/>
          <w:color w:val="000000" w:themeColor="text1"/>
          <w:sz w:val="24"/>
        </w:rPr>
        <w:t>）以公允价值计量的固定收益品种</w:t>
      </w:r>
    </w:p>
    <w:p w14:paraId="56981B57" w14:textId="5B44A0C4" w:rsidR="003E6A3F" w:rsidRPr="005F0ABA" w:rsidRDefault="006E6B76" w:rsidP="00176844">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w:t>
      </w:r>
      <w:r w:rsidRPr="005F0ABA">
        <w:rPr>
          <w:rFonts w:ascii="宋体" w:hAnsi="宋体" w:cs="Arial" w:hint="eastAsia"/>
          <w:color w:val="000000" w:themeColor="text1"/>
          <w:sz w:val="24"/>
        </w:rPr>
        <w:t>）对于已上市或已挂牌转让的不含</w:t>
      </w:r>
      <w:proofErr w:type="gramStart"/>
      <w:r w:rsidRPr="005F0ABA">
        <w:rPr>
          <w:rFonts w:ascii="宋体" w:hAnsi="宋体" w:cs="Arial" w:hint="eastAsia"/>
          <w:color w:val="000000" w:themeColor="text1"/>
          <w:sz w:val="24"/>
        </w:rPr>
        <w:t>权固定</w:t>
      </w:r>
      <w:proofErr w:type="gramEnd"/>
      <w:r w:rsidRPr="005F0ABA">
        <w:rPr>
          <w:rFonts w:ascii="宋体" w:hAnsi="宋体" w:cs="Arial" w:hint="eastAsia"/>
          <w:color w:val="000000" w:themeColor="text1"/>
          <w:sz w:val="24"/>
        </w:rPr>
        <w:t>收益品种，选取第三方估值基准服</w:t>
      </w:r>
      <w:r w:rsidRPr="005F0ABA">
        <w:rPr>
          <w:rFonts w:ascii="宋体" w:hAnsi="宋体" w:cs="Arial" w:hint="eastAsia"/>
          <w:color w:val="000000" w:themeColor="text1"/>
          <w:sz w:val="24"/>
        </w:rPr>
        <w:lastRenderedPageBreak/>
        <w:t>务机构提供的相应品种当日的估值全价；</w:t>
      </w:r>
    </w:p>
    <w:p w14:paraId="72544395" w14:textId="4733D201" w:rsidR="001B2F02" w:rsidRPr="005F0ABA" w:rsidRDefault="006E6B76" w:rsidP="00176844">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w:t>
      </w:r>
      <w:r w:rsidRPr="005F0ABA">
        <w:rPr>
          <w:rFonts w:ascii="宋体" w:hAnsi="宋体" w:cs="Arial" w:hint="eastAsia"/>
          <w:color w:val="000000" w:themeColor="text1"/>
          <w:sz w:val="24"/>
        </w:rPr>
        <w:t>）对于已上市或已挂牌转让的含</w:t>
      </w:r>
      <w:proofErr w:type="gramStart"/>
      <w:r w:rsidRPr="005F0ABA">
        <w:rPr>
          <w:rFonts w:ascii="宋体" w:hAnsi="宋体" w:cs="Arial" w:hint="eastAsia"/>
          <w:color w:val="000000" w:themeColor="text1"/>
          <w:sz w:val="24"/>
        </w:rPr>
        <w:t>权固定</w:t>
      </w:r>
      <w:proofErr w:type="gramEnd"/>
      <w:r w:rsidRPr="005F0ABA">
        <w:rPr>
          <w:rFonts w:ascii="宋体" w:hAnsi="宋体" w:cs="Arial" w:hint="eastAsia"/>
          <w:color w:val="000000" w:themeColor="text1"/>
          <w:sz w:val="24"/>
        </w:rPr>
        <w:t>收益品种，选取第三方估值基准服务机构提供的相应品种当日的</w:t>
      </w:r>
      <w:r w:rsidR="001B2F02" w:rsidRPr="005F0ABA">
        <w:rPr>
          <w:rFonts w:hint="eastAsia"/>
          <w:bCs/>
          <w:color w:val="000000" w:themeColor="text1"/>
          <w:sz w:val="24"/>
        </w:rPr>
        <w:t>唯一估值全价或</w:t>
      </w:r>
      <w:r w:rsidRPr="005F0ABA">
        <w:rPr>
          <w:rFonts w:ascii="宋体" w:hAnsi="宋体" w:cs="Arial" w:hint="eastAsia"/>
          <w:color w:val="000000" w:themeColor="text1"/>
          <w:sz w:val="24"/>
        </w:rPr>
        <w:t>推荐估值全价</w:t>
      </w:r>
      <w:r w:rsidR="001B2F02" w:rsidRPr="005F0ABA">
        <w:rPr>
          <w:rFonts w:ascii="宋体" w:hAnsi="宋体" w:cs="Arial" w:hint="eastAsia"/>
          <w:color w:val="000000" w:themeColor="text1"/>
          <w:sz w:val="24"/>
        </w:rPr>
        <w:t>；</w:t>
      </w:r>
    </w:p>
    <w:p w14:paraId="3BD2D82F" w14:textId="72D854FE" w:rsidR="003E6A3F" w:rsidRPr="005F0ABA" w:rsidRDefault="001B2F02" w:rsidP="00176844">
      <w:pPr>
        <w:adjustRightInd w:val="0"/>
        <w:snapToGrid w:val="0"/>
        <w:spacing w:line="360" w:lineRule="auto"/>
        <w:ind w:firstLineChars="200" w:firstLine="480"/>
        <w:rPr>
          <w:rFonts w:ascii="宋体" w:hAnsi="宋体"/>
          <w:bCs/>
          <w:color w:val="000000" w:themeColor="text1"/>
          <w:sz w:val="24"/>
        </w:rPr>
      </w:pPr>
      <w:r w:rsidRPr="005F0ABA">
        <w:rPr>
          <w:rFonts w:ascii="宋体" w:hAnsi="宋体" w:cs="Arial"/>
          <w:color w:val="000000" w:themeColor="text1"/>
          <w:sz w:val="24"/>
        </w:rPr>
        <w:t>3</w:t>
      </w:r>
      <w:r w:rsidRPr="005F0ABA">
        <w:rPr>
          <w:rFonts w:ascii="宋体" w:hAnsi="宋体" w:cs="Arial" w:hint="eastAsia"/>
          <w:color w:val="000000" w:themeColor="text1"/>
          <w:sz w:val="24"/>
        </w:rPr>
        <w:t>）</w:t>
      </w:r>
      <w:r w:rsidR="006E6B76" w:rsidRPr="005F0ABA">
        <w:rPr>
          <w:rFonts w:ascii="宋体" w:hAnsi="宋体" w:cs="Arial" w:hint="eastAsia"/>
          <w:color w:val="000000" w:themeColor="text1"/>
          <w:sz w:val="24"/>
        </w:rPr>
        <w:t>对于含投资者回售权的固定收益品种，行使回售权的，在回售登</w:t>
      </w:r>
      <w:r w:rsidR="006E6B76" w:rsidRPr="005F0ABA">
        <w:rPr>
          <w:rFonts w:ascii="宋体" w:hAnsi="宋体" w:hint="eastAsia"/>
          <w:bCs/>
          <w:color w:val="000000" w:themeColor="text1"/>
          <w:sz w:val="24"/>
        </w:rPr>
        <w:t>记日至实际收款日期间选取第三方估值基准服务机构提供的相应品种的</w:t>
      </w:r>
      <w:r w:rsidRPr="005F0ABA">
        <w:rPr>
          <w:rFonts w:hint="eastAsia"/>
          <w:bCs/>
          <w:color w:val="000000" w:themeColor="text1"/>
          <w:sz w:val="24"/>
        </w:rPr>
        <w:t>唯一估值全价或</w:t>
      </w:r>
      <w:r w:rsidR="006E6B76" w:rsidRPr="005F0ABA">
        <w:rPr>
          <w:rFonts w:ascii="宋体" w:hAnsi="宋体" w:hint="eastAsia"/>
          <w:bCs/>
          <w:color w:val="000000" w:themeColor="text1"/>
          <w:sz w:val="24"/>
        </w:rPr>
        <w:t>推荐估值全价</w:t>
      </w:r>
      <w:r w:rsidRPr="005F0ABA">
        <w:rPr>
          <w:rFonts w:hint="eastAsia"/>
          <w:bCs/>
          <w:color w:val="000000" w:themeColor="text1"/>
          <w:sz w:val="24"/>
        </w:rPr>
        <w:t>，同时应充分考虑发行人的信用风险变化对公允价值的影响。</w:t>
      </w:r>
      <w:r w:rsidR="006E6B76" w:rsidRPr="005F0ABA">
        <w:rPr>
          <w:rFonts w:ascii="宋体" w:hAnsi="宋体" w:hint="eastAsia"/>
          <w:bCs/>
          <w:color w:val="000000" w:themeColor="text1"/>
          <w:sz w:val="24"/>
        </w:rPr>
        <w:t>回售登记期截止日（含当日）后未行使回售权的按照长待偿期所对应的价格进行估值；</w:t>
      </w:r>
    </w:p>
    <w:p w14:paraId="4C177A85" w14:textId="506E5A1E" w:rsidR="005277B8" w:rsidRPr="005F0ABA" w:rsidRDefault="001B2F02" w:rsidP="00220DB8">
      <w:pPr>
        <w:spacing w:line="360" w:lineRule="auto"/>
        <w:ind w:firstLineChars="200" w:firstLine="480"/>
        <w:rPr>
          <w:rFonts w:ascii="宋体" w:hAnsi="宋体"/>
          <w:bCs/>
          <w:color w:val="000000" w:themeColor="text1"/>
          <w:sz w:val="24"/>
        </w:rPr>
      </w:pPr>
      <w:r w:rsidRPr="005F0ABA">
        <w:rPr>
          <w:rFonts w:ascii="宋体" w:hAnsi="宋体"/>
          <w:bCs/>
          <w:color w:val="000000" w:themeColor="text1"/>
          <w:sz w:val="24"/>
        </w:rPr>
        <w:t>4</w:t>
      </w:r>
      <w:r w:rsidR="006E6B76" w:rsidRPr="005F0ABA">
        <w:rPr>
          <w:rFonts w:ascii="宋体" w:hAnsi="宋体" w:hint="eastAsia"/>
          <w:bCs/>
          <w:color w:val="000000" w:themeColor="text1"/>
          <w:sz w:val="24"/>
        </w:rPr>
        <w:t>）对于未上市或未挂牌转让且不存在活跃市场的固定收益品种，</w:t>
      </w:r>
      <w:r w:rsidRPr="005F0ABA">
        <w:rPr>
          <w:rFonts w:hint="eastAsia"/>
          <w:bCs/>
          <w:color w:val="000000" w:themeColor="text1"/>
          <w:sz w:val="24"/>
        </w:rPr>
        <w:t>应采用在当前情况下适用并且有足够可利用数据和其他信息支持的估值技术确定其公允价值</w:t>
      </w:r>
      <w:r w:rsidR="005277B8" w:rsidRPr="005F0ABA">
        <w:rPr>
          <w:rFonts w:ascii="宋体" w:hAnsi="宋体" w:hint="eastAsia"/>
          <w:bCs/>
          <w:color w:val="000000" w:themeColor="text1"/>
          <w:sz w:val="24"/>
        </w:rPr>
        <w:t>。</w:t>
      </w:r>
    </w:p>
    <w:p w14:paraId="759FEDDD" w14:textId="3B4E4167" w:rsidR="003E6A3F" w:rsidRPr="005F0ABA" w:rsidRDefault="006E6B76" w:rsidP="00442C51">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Pr="005F0ABA">
        <w:rPr>
          <w:rFonts w:ascii="宋体" w:hAnsi="宋体"/>
          <w:bCs/>
          <w:color w:val="000000" w:themeColor="text1"/>
          <w:sz w:val="24"/>
        </w:rPr>
        <w:t>2</w:t>
      </w:r>
      <w:r w:rsidRPr="005F0ABA">
        <w:rPr>
          <w:rFonts w:ascii="宋体" w:hAnsi="宋体" w:hint="eastAsia"/>
          <w:bCs/>
          <w:color w:val="000000" w:themeColor="text1"/>
          <w:sz w:val="24"/>
        </w:rPr>
        <w:t>）存款的估值方法</w:t>
      </w:r>
    </w:p>
    <w:p w14:paraId="1196D6E7" w14:textId="77777777"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本基金持有的银行定期存款或通知存款以本金列示，按协议或合同利率逐日确认利息收入。</w:t>
      </w:r>
    </w:p>
    <w:p w14:paraId="62BF1F5A" w14:textId="04D3D1DB"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00442C51" w:rsidRPr="005F0ABA">
        <w:rPr>
          <w:rFonts w:ascii="宋体" w:hAnsi="宋体"/>
          <w:bCs/>
          <w:color w:val="000000" w:themeColor="text1"/>
          <w:sz w:val="24"/>
        </w:rPr>
        <w:t>3</w:t>
      </w:r>
      <w:r w:rsidRPr="005F0ABA">
        <w:rPr>
          <w:rFonts w:ascii="宋体" w:hAnsi="宋体" w:hint="eastAsia"/>
          <w:bCs/>
          <w:color w:val="000000" w:themeColor="text1"/>
          <w:sz w:val="24"/>
        </w:rPr>
        <w:t>）国债期货合约以估值日的结算价估值。估值当日无结算价的，采用最近交易日结算价估值。如法律法规今后另有规定的，从其规定。</w:t>
      </w:r>
    </w:p>
    <w:p w14:paraId="5922ABD1" w14:textId="56AC980B"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00442C51" w:rsidRPr="005F0ABA">
        <w:rPr>
          <w:rFonts w:ascii="宋体" w:hAnsi="宋体"/>
          <w:bCs/>
          <w:color w:val="000000" w:themeColor="text1"/>
          <w:sz w:val="24"/>
        </w:rPr>
        <w:t>4</w:t>
      </w:r>
      <w:r w:rsidRPr="005F0ABA">
        <w:rPr>
          <w:rFonts w:ascii="宋体" w:hAnsi="宋体" w:hint="eastAsia"/>
          <w:bCs/>
          <w:color w:val="000000" w:themeColor="text1"/>
          <w:sz w:val="24"/>
        </w:rPr>
        <w:t>）信用衍生品按第三方估值机构提供的当日估值价格进行估值，但基金管理人依法应当承担的估值责任不因委托而免除；选定的第三方估值机构未提供估值价格的，依照有关法律法规及《企业会计准则》要求采用合理估值技术确定公允价值。</w:t>
      </w:r>
    </w:p>
    <w:p w14:paraId="090F47E5" w14:textId="31B85AF7" w:rsidR="009574B0" w:rsidRPr="005F0ABA" w:rsidRDefault="006E6B76" w:rsidP="009574B0">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00442C51" w:rsidRPr="005F0ABA">
        <w:rPr>
          <w:rFonts w:ascii="宋体" w:hAnsi="宋体"/>
          <w:bCs/>
          <w:color w:val="000000" w:themeColor="text1"/>
          <w:sz w:val="24"/>
        </w:rPr>
        <w:t>5</w:t>
      </w:r>
      <w:r w:rsidRPr="005F0ABA">
        <w:rPr>
          <w:rFonts w:ascii="宋体" w:hAnsi="宋体" w:hint="eastAsia"/>
          <w:bCs/>
          <w:color w:val="000000" w:themeColor="text1"/>
          <w:sz w:val="24"/>
        </w:rPr>
        <w:t>）如有确凿证据表明按上述方法进行估值不能客观反映其公允价值的，基金管理人可根据具体情况与基金托管人商定后，按最能反映公允价值的价格估值。</w:t>
      </w:r>
    </w:p>
    <w:p w14:paraId="32AD2BC3" w14:textId="08867FFD"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00442C51" w:rsidRPr="005F0ABA">
        <w:rPr>
          <w:rFonts w:ascii="宋体" w:hAnsi="宋体"/>
          <w:bCs/>
          <w:color w:val="000000" w:themeColor="text1"/>
          <w:sz w:val="24"/>
        </w:rPr>
        <w:t>6</w:t>
      </w:r>
      <w:r w:rsidRPr="005F0ABA">
        <w:rPr>
          <w:rFonts w:ascii="宋体" w:hAnsi="宋体" w:hint="eastAsia"/>
          <w:bCs/>
          <w:color w:val="000000" w:themeColor="text1"/>
          <w:sz w:val="24"/>
        </w:rPr>
        <w:t>）本基金发生大额申购或赎回情形时，基金管理人可以采用摆动定价机制，以确保基金估值的公平性。具体处理原则与操作规范遵循相关法律法规以及监管部门、自律规则的规定。</w:t>
      </w:r>
    </w:p>
    <w:p w14:paraId="3874B4C0" w14:textId="2AE8C09D" w:rsidR="003E6A3F" w:rsidRPr="005F0ABA" w:rsidRDefault="006E6B76">
      <w:pPr>
        <w:spacing w:line="360" w:lineRule="auto"/>
        <w:ind w:firstLineChars="200" w:firstLine="480"/>
        <w:rPr>
          <w:rFonts w:ascii="宋体" w:hAnsi="宋体"/>
          <w:bCs/>
          <w:color w:val="000000" w:themeColor="text1"/>
          <w:sz w:val="24"/>
        </w:rPr>
      </w:pPr>
      <w:r w:rsidRPr="005F0ABA">
        <w:rPr>
          <w:rFonts w:ascii="宋体" w:hAnsi="宋体" w:hint="eastAsia"/>
          <w:bCs/>
          <w:color w:val="000000" w:themeColor="text1"/>
          <w:sz w:val="24"/>
        </w:rPr>
        <w:t>（</w:t>
      </w:r>
      <w:r w:rsidR="00442C51" w:rsidRPr="005F0ABA">
        <w:rPr>
          <w:rFonts w:ascii="宋体" w:hAnsi="宋体"/>
          <w:bCs/>
          <w:color w:val="000000" w:themeColor="text1"/>
          <w:sz w:val="24"/>
        </w:rPr>
        <w:t>7</w:t>
      </w:r>
      <w:r w:rsidRPr="005F0ABA">
        <w:rPr>
          <w:rFonts w:ascii="宋体" w:hAnsi="宋体" w:hint="eastAsia"/>
          <w:bCs/>
          <w:color w:val="000000" w:themeColor="text1"/>
          <w:sz w:val="24"/>
        </w:rPr>
        <w:t>）相关法律法规以及监管部门有强制规定的，从其规定。如有新增事项，按国家最新规定估值。</w:t>
      </w:r>
    </w:p>
    <w:p w14:paraId="70470C94" w14:textId="77777777" w:rsidR="003E6A3F" w:rsidRPr="005F0ABA" w:rsidRDefault="006E6B76">
      <w:pPr>
        <w:spacing w:line="360" w:lineRule="auto"/>
        <w:ind w:firstLineChars="200" w:firstLine="480"/>
        <w:rPr>
          <w:bCs/>
          <w:color w:val="000000" w:themeColor="text1"/>
          <w:sz w:val="24"/>
        </w:rPr>
      </w:pPr>
      <w:r w:rsidRPr="005F0ABA">
        <w:rPr>
          <w:rFonts w:ascii="宋体" w:hAnsi="宋体" w:hint="eastAsia"/>
          <w:bCs/>
          <w:color w:val="000000" w:themeColor="text1"/>
          <w:sz w:val="24"/>
        </w:rPr>
        <w:t>如基金管理人或基金托管人发现基金估值违反基金合同订明的估值方法、程序及相关法律法规的规定或者未能充分维护基金份额持有人利益时，应立即通知对方，共同查明原</w:t>
      </w:r>
      <w:r w:rsidRPr="005F0ABA">
        <w:rPr>
          <w:rFonts w:hint="eastAsia"/>
          <w:bCs/>
          <w:color w:val="000000" w:themeColor="text1"/>
          <w:sz w:val="24"/>
        </w:rPr>
        <w:t>因，双方协商解决。</w:t>
      </w:r>
    </w:p>
    <w:p w14:paraId="70BA7A01" w14:textId="77777777" w:rsidR="003E6A3F" w:rsidRPr="005F0ABA" w:rsidRDefault="006E6B76">
      <w:pPr>
        <w:spacing w:line="360" w:lineRule="auto"/>
        <w:ind w:firstLine="480"/>
        <w:rPr>
          <w:bCs/>
          <w:color w:val="000000" w:themeColor="text1"/>
          <w:sz w:val="24"/>
        </w:rPr>
      </w:pPr>
      <w:r w:rsidRPr="005F0ABA">
        <w:rPr>
          <w:rFonts w:hint="eastAsia"/>
          <w:bCs/>
          <w:color w:val="000000" w:themeColor="text1"/>
          <w:sz w:val="24"/>
        </w:rPr>
        <w:t>根据有关法律法规，基金资产净值计算和基金会计核算的义务由基金管理人承担。本基金的基金会计责任方由基金管理人担任，因此，就与本基金有关的会计</w:t>
      </w:r>
      <w:r w:rsidRPr="005F0ABA">
        <w:rPr>
          <w:rFonts w:hint="eastAsia"/>
          <w:bCs/>
          <w:color w:val="000000" w:themeColor="text1"/>
          <w:sz w:val="24"/>
        </w:rPr>
        <w:lastRenderedPageBreak/>
        <w:t>问题，如经相关各方在平等基础上充分讨论后，仍无法达成一致的意见，基金管理人向基金托管人出具盖章的书面说明后，按照基金管理人对基金净值信息的计算结果对外予以公布。</w:t>
      </w:r>
    </w:p>
    <w:p w14:paraId="3CE77C76" w14:textId="77777777" w:rsidR="003E6A3F" w:rsidRPr="005F0ABA" w:rsidRDefault="006E6B76">
      <w:pPr>
        <w:adjustRightInd w:val="0"/>
        <w:snapToGrid w:val="0"/>
        <w:spacing w:line="360" w:lineRule="auto"/>
        <w:ind w:firstLine="480"/>
        <w:rPr>
          <w:rStyle w:val="read"/>
          <w:rFonts w:ascii="宋体" w:hAnsi="宋体" w:cs="Arial"/>
          <w:color w:val="000000" w:themeColor="text1"/>
        </w:rPr>
      </w:pPr>
      <w:r w:rsidRPr="005F0ABA">
        <w:rPr>
          <w:rStyle w:val="read"/>
          <w:rFonts w:ascii="宋体" w:hAnsi="宋体" w:cs="Arial"/>
          <w:color w:val="000000" w:themeColor="text1"/>
          <w:sz w:val="24"/>
        </w:rPr>
        <w:t>3.特殊情形的处理</w:t>
      </w:r>
    </w:p>
    <w:p w14:paraId="179E9DB3" w14:textId="490D1486" w:rsidR="003E6A3F" w:rsidRPr="005F0ABA" w:rsidRDefault="006E6B76">
      <w:pPr>
        <w:adjustRightInd w:val="0"/>
        <w:snapToGrid w:val="0"/>
        <w:spacing w:line="360" w:lineRule="auto"/>
        <w:ind w:firstLineChars="200" w:firstLine="480"/>
        <w:rPr>
          <w:rStyle w:val="read"/>
          <w:rFonts w:ascii="宋体" w:hAnsi="宋体"/>
          <w:color w:val="000000" w:themeColor="text1"/>
          <w:sz w:val="24"/>
        </w:rPr>
      </w:pPr>
      <w:r w:rsidRPr="005F0ABA">
        <w:rPr>
          <w:rStyle w:val="read"/>
          <w:rFonts w:ascii="宋体" w:hAnsi="宋体" w:cs="Arial" w:hint="eastAsia"/>
          <w:color w:val="000000" w:themeColor="text1"/>
          <w:sz w:val="24"/>
        </w:rPr>
        <w:t>基金管理人</w:t>
      </w:r>
      <w:r w:rsidR="006171DF" w:rsidRPr="005F0ABA">
        <w:rPr>
          <w:rStyle w:val="read"/>
          <w:rFonts w:ascii="宋体" w:hAnsi="宋体" w:cs="Arial" w:hint="eastAsia"/>
          <w:color w:val="000000" w:themeColor="text1"/>
          <w:sz w:val="24"/>
        </w:rPr>
        <w:t>或</w:t>
      </w:r>
      <w:r w:rsidRPr="005F0ABA">
        <w:rPr>
          <w:rStyle w:val="read"/>
          <w:rFonts w:ascii="宋体" w:hAnsi="宋体" w:cs="Arial" w:hint="eastAsia"/>
          <w:color w:val="000000" w:themeColor="text1"/>
          <w:sz w:val="24"/>
        </w:rPr>
        <w:t>基金托管人按估值方法的第</w:t>
      </w:r>
      <w:r w:rsidRPr="005F0ABA">
        <w:rPr>
          <w:rStyle w:val="read"/>
          <w:rFonts w:ascii="宋体" w:hAnsi="宋体" w:cs="Arial"/>
          <w:color w:val="000000" w:themeColor="text1"/>
          <w:sz w:val="24"/>
        </w:rPr>
        <w:t>(</w:t>
      </w:r>
      <w:r w:rsidR="00220DB8" w:rsidRPr="005F0ABA">
        <w:rPr>
          <w:rStyle w:val="read"/>
          <w:rFonts w:ascii="宋体" w:hAnsi="宋体" w:cs="Arial"/>
          <w:color w:val="000000" w:themeColor="text1"/>
          <w:sz w:val="24"/>
        </w:rPr>
        <w:t>5</w:t>
      </w:r>
      <w:r w:rsidRPr="005F0ABA">
        <w:rPr>
          <w:rStyle w:val="read"/>
          <w:rFonts w:ascii="宋体" w:hAnsi="宋体" w:cs="Arial"/>
          <w:color w:val="000000" w:themeColor="text1"/>
          <w:sz w:val="24"/>
        </w:rPr>
        <w:t>)项进行估值时，所造成的误差不作为基金</w:t>
      </w:r>
      <w:r w:rsidRPr="005F0ABA">
        <w:rPr>
          <w:rStyle w:val="read"/>
          <w:rFonts w:ascii="宋体" w:hAnsi="宋体" w:cs="Arial" w:hint="eastAsia"/>
          <w:color w:val="000000" w:themeColor="text1"/>
          <w:sz w:val="24"/>
        </w:rPr>
        <w:t>资产估值</w:t>
      </w:r>
      <w:r w:rsidRPr="005F0ABA">
        <w:rPr>
          <w:rStyle w:val="read"/>
          <w:rFonts w:ascii="宋体" w:hAnsi="宋体" w:hint="eastAsia"/>
          <w:color w:val="000000" w:themeColor="text1"/>
          <w:sz w:val="24"/>
        </w:rPr>
        <w:t>错误处理。</w:t>
      </w:r>
    </w:p>
    <w:p w14:paraId="3B14A5E8" w14:textId="77777777" w:rsidR="003E6A3F" w:rsidRPr="005F0ABA" w:rsidRDefault="006E6B76">
      <w:pPr>
        <w:adjustRightInd w:val="0"/>
        <w:snapToGrid w:val="0"/>
        <w:spacing w:line="360" w:lineRule="auto"/>
        <w:ind w:firstLineChars="200" w:firstLine="480"/>
        <w:rPr>
          <w:rStyle w:val="read"/>
          <w:rFonts w:ascii="宋体" w:hAnsi="宋体"/>
          <w:color w:val="000000" w:themeColor="text1"/>
          <w:sz w:val="24"/>
        </w:rPr>
      </w:pPr>
      <w:r w:rsidRPr="005F0ABA">
        <w:rPr>
          <w:rStyle w:val="read"/>
          <w:rFonts w:ascii="宋体" w:hAnsi="宋体" w:hint="eastAsia"/>
          <w:color w:val="000000" w:themeColor="text1"/>
          <w:sz w:val="24"/>
        </w:rPr>
        <w:t>（三）基金份额净值错误的处理方式</w:t>
      </w:r>
    </w:p>
    <w:p w14:paraId="222D92DE" w14:textId="15D9367E" w:rsidR="003E6A3F" w:rsidRPr="005F0ABA" w:rsidRDefault="006E6B76">
      <w:pPr>
        <w:adjustRightInd w:val="0"/>
        <w:snapToGrid w:val="0"/>
        <w:spacing w:line="360" w:lineRule="auto"/>
        <w:ind w:firstLineChars="200" w:firstLine="480"/>
        <w:rPr>
          <w:rStyle w:val="read"/>
          <w:rFonts w:ascii="宋体" w:hAnsi="宋体"/>
          <w:color w:val="000000" w:themeColor="text1"/>
          <w:sz w:val="24"/>
        </w:rPr>
      </w:pPr>
      <w:r w:rsidRPr="005F0ABA">
        <w:rPr>
          <w:rStyle w:val="read"/>
          <w:rFonts w:ascii="宋体" w:hAnsi="宋体"/>
          <w:color w:val="000000" w:themeColor="text1"/>
          <w:sz w:val="24"/>
        </w:rPr>
        <w:t>1.当</w:t>
      </w:r>
      <w:r w:rsidRPr="005F0ABA">
        <w:rPr>
          <w:rStyle w:val="read"/>
          <w:rFonts w:ascii="宋体" w:hAnsi="宋体" w:hint="eastAsia"/>
          <w:color w:val="000000" w:themeColor="text1"/>
          <w:sz w:val="24"/>
        </w:rPr>
        <w:t>某一类别基金份额净值小数点后</w:t>
      </w:r>
      <w:r w:rsidRPr="005F0ABA">
        <w:rPr>
          <w:rStyle w:val="read"/>
          <w:rFonts w:ascii="宋体" w:hAnsi="宋体"/>
          <w:color w:val="000000" w:themeColor="text1"/>
          <w:sz w:val="24"/>
        </w:rPr>
        <w:t>4</w:t>
      </w:r>
      <w:r w:rsidRPr="005F0ABA">
        <w:rPr>
          <w:rStyle w:val="read"/>
          <w:rFonts w:ascii="宋体" w:hAnsi="宋体" w:hint="eastAsia"/>
          <w:color w:val="000000" w:themeColor="text1"/>
          <w:sz w:val="24"/>
        </w:rPr>
        <w:t>位以内</w:t>
      </w:r>
      <w:r w:rsidRPr="005F0ABA">
        <w:rPr>
          <w:rStyle w:val="read"/>
          <w:rFonts w:ascii="宋体" w:hAnsi="宋体"/>
          <w:color w:val="000000" w:themeColor="text1"/>
          <w:sz w:val="24"/>
        </w:rPr>
        <w:t>(含</w:t>
      </w:r>
      <w:r w:rsidRPr="005F0ABA">
        <w:rPr>
          <w:rStyle w:val="read"/>
          <w:rFonts w:ascii="宋体" w:hAnsi="宋体" w:hint="eastAsia"/>
          <w:color w:val="000000" w:themeColor="text1"/>
          <w:sz w:val="24"/>
        </w:rPr>
        <w:t>第</w:t>
      </w:r>
      <w:r w:rsidRPr="005F0ABA">
        <w:rPr>
          <w:rStyle w:val="read"/>
          <w:rFonts w:ascii="宋体" w:hAnsi="宋体"/>
          <w:color w:val="000000" w:themeColor="text1"/>
          <w:sz w:val="24"/>
        </w:rPr>
        <w:t>4</w:t>
      </w:r>
      <w:r w:rsidRPr="005F0ABA">
        <w:rPr>
          <w:rStyle w:val="read"/>
          <w:rFonts w:ascii="宋体" w:hAnsi="宋体" w:hint="eastAsia"/>
          <w:color w:val="000000" w:themeColor="text1"/>
          <w:sz w:val="24"/>
        </w:rPr>
        <w:t>位</w:t>
      </w:r>
      <w:r w:rsidRPr="005F0ABA">
        <w:rPr>
          <w:rStyle w:val="read"/>
          <w:rFonts w:ascii="宋体" w:hAnsi="宋体"/>
          <w:color w:val="000000" w:themeColor="text1"/>
          <w:sz w:val="24"/>
        </w:rPr>
        <w:t>)发生</w:t>
      </w:r>
      <w:r w:rsidR="006171DF" w:rsidRPr="005F0ABA">
        <w:rPr>
          <w:rStyle w:val="read"/>
          <w:rFonts w:ascii="宋体" w:hAnsi="宋体" w:hint="eastAsia"/>
          <w:color w:val="000000" w:themeColor="text1"/>
          <w:sz w:val="24"/>
        </w:rPr>
        <w:t>估值错误</w:t>
      </w:r>
      <w:r w:rsidRPr="005F0ABA">
        <w:rPr>
          <w:rStyle w:val="read"/>
          <w:rFonts w:ascii="宋体" w:hAnsi="宋体"/>
          <w:color w:val="000000" w:themeColor="text1"/>
          <w:sz w:val="24"/>
        </w:rPr>
        <w:t>时，视为</w:t>
      </w:r>
      <w:r w:rsidRPr="005F0ABA">
        <w:rPr>
          <w:rStyle w:val="read"/>
          <w:rFonts w:ascii="宋体" w:hAnsi="宋体" w:hint="eastAsia"/>
          <w:color w:val="000000" w:themeColor="text1"/>
          <w:sz w:val="24"/>
        </w:rPr>
        <w:t>该类别基金份额净值错误；基金份额净值出现错误时，基金管理人应当立即予以纠正，通报基金托管人，并采取合理的措施防止损失进一步扩大；错误偏差达到该类别基金份额净值的</w:t>
      </w:r>
      <w:r w:rsidRPr="005F0ABA">
        <w:rPr>
          <w:rStyle w:val="read"/>
          <w:rFonts w:ascii="宋体" w:hAnsi="宋体"/>
          <w:color w:val="000000" w:themeColor="text1"/>
          <w:sz w:val="24"/>
        </w:rPr>
        <w:t>0.25%时，基金管理人应当通报基金托管人并报中国证监会备案</w:t>
      </w:r>
      <w:r w:rsidRPr="005F0ABA">
        <w:rPr>
          <w:rFonts w:ascii="宋体" w:hAnsi="宋体" w:cs="Arial" w:hint="eastAsia"/>
          <w:color w:val="000000" w:themeColor="text1"/>
          <w:sz w:val="24"/>
        </w:rPr>
        <w:t>；错误偏差达到该类别基金份额净值的</w:t>
      </w:r>
      <w:r w:rsidRPr="005F0ABA">
        <w:rPr>
          <w:rFonts w:ascii="宋体" w:hAnsi="宋体"/>
          <w:color w:val="000000" w:themeColor="text1"/>
          <w:sz w:val="24"/>
        </w:rPr>
        <w:t>0.5%时，基金管理人应当公告</w:t>
      </w:r>
      <w:r w:rsidRPr="005F0ABA">
        <w:rPr>
          <w:rFonts w:ascii="宋体" w:hAnsi="宋体" w:hint="eastAsia"/>
          <w:color w:val="000000" w:themeColor="text1"/>
          <w:sz w:val="24"/>
        </w:rPr>
        <w:t>，并报中国证监会备案</w:t>
      </w:r>
      <w:r w:rsidRPr="005F0ABA">
        <w:rPr>
          <w:rStyle w:val="read"/>
          <w:rFonts w:ascii="宋体" w:hAnsi="宋体" w:hint="eastAsia"/>
          <w:color w:val="000000" w:themeColor="text1"/>
          <w:sz w:val="24"/>
        </w:rPr>
        <w:t>；当发生净值计算错误时，由基金管理人负责处理，由此给基金份额持有人和基金造成损失的，应由基金管理人先行赔付，基金管理人按差错情形，有权向其他当事人追偿。</w:t>
      </w:r>
    </w:p>
    <w:p w14:paraId="49682378" w14:textId="77777777" w:rsidR="003E6A3F" w:rsidRPr="005F0ABA" w:rsidRDefault="006E6B76">
      <w:pPr>
        <w:adjustRightInd w:val="0"/>
        <w:snapToGrid w:val="0"/>
        <w:spacing w:line="360" w:lineRule="auto"/>
        <w:ind w:firstLineChars="200" w:firstLine="480"/>
        <w:rPr>
          <w:rStyle w:val="read"/>
          <w:rFonts w:ascii="宋体" w:hAnsi="宋体"/>
          <w:color w:val="000000" w:themeColor="text1"/>
          <w:sz w:val="24"/>
        </w:rPr>
      </w:pPr>
      <w:r w:rsidRPr="005F0ABA">
        <w:rPr>
          <w:rStyle w:val="read"/>
          <w:rFonts w:ascii="宋体" w:hAnsi="宋体"/>
          <w:color w:val="000000" w:themeColor="text1"/>
          <w:sz w:val="24"/>
        </w:rPr>
        <w:t>2.当基金份额净值计算差错给基金和基金份额持有人造成损失需要进行赔偿时，基金管理人和基金托管人应根据实际情况界定双方承担的责任，经确认后按以下条款进行赔偿：</w:t>
      </w:r>
    </w:p>
    <w:p w14:paraId="3B257DBF" w14:textId="2689CBDF" w:rsidR="003E6A3F" w:rsidRPr="005F0ABA" w:rsidRDefault="00176844">
      <w:pPr>
        <w:adjustRightInd w:val="0"/>
        <w:snapToGrid w:val="0"/>
        <w:spacing w:line="360" w:lineRule="auto"/>
        <w:ind w:firstLineChars="200" w:firstLine="480"/>
        <w:rPr>
          <w:rFonts w:ascii="宋体" w:hAnsi="宋体" w:cs="Arial"/>
          <w:color w:val="000000" w:themeColor="text1"/>
        </w:rPr>
      </w:pPr>
      <w:r w:rsidRPr="005F0ABA">
        <w:rPr>
          <w:rStyle w:val="read"/>
          <w:rFonts w:ascii="宋体" w:hAnsi="宋体" w:hint="eastAsia"/>
          <w:color w:val="000000" w:themeColor="text1"/>
          <w:sz w:val="24"/>
        </w:rPr>
        <w:t>（1）</w:t>
      </w:r>
      <w:r w:rsidR="006E6B76" w:rsidRPr="005F0ABA">
        <w:rPr>
          <w:rStyle w:val="read"/>
          <w:rFonts w:ascii="宋体" w:hAnsi="宋体"/>
          <w:color w:val="000000" w:themeColor="text1"/>
          <w:sz w:val="24"/>
        </w:rPr>
        <w:t>本基金的基金会计责任方由基金管理人担任，与本基金有关的会计问题，如经双方在平等基础上充分讨论后，尚不能达成一致时，</w:t>
      </w:r>
      <w:r w:rsidR="006E6B76" w:rsidRPr="005F0ABA">
        <w:rPr>
          <w:rFonts w:ascii="宋体" w:hAnsi="宋体" w:hint="eastAsia"/>
          <w:bCs/>
          <w:color w:val="000000" w:themeColor="text1"/>
          <w:sz w:val="24"/>
        </w:rPr>
        <w:t>基金管理人向基金托管人出具盖章的书面说明后，</w:t>
      </w:r>
      <w:r w:rsidR="006E6B76" w:rsidRPr="005F0ABA">
        <w:rPr>
          <w:rStyle w:val="read"/>
          <w:rFonts w:ascii="宋体" w:hAnsi="宋体"/>
          <w:color w:val="000000" w:themeColor="text1"/>
          <w:sz w:val="24"/>
        </w:rPr>
        <w:t>按基金管理人的建议执行，由此给基金份额持有人和基金财产造成的</w:t>
      </w:r>
      <w:r w:rsidR="006E6B76" w:rsidRPr="005F0ABA">
        <w:rPr>
          <w:rFonts w:ascii="宋体" w:hAnsi="宋体" w:cs="Arial" w:hint="eastAsia"/>
          <w:color w:val="000000" w:themeColor="text1"/>
          <w:sz w:val="24"/>
        </w:rPr>
        <w:t>损失，由基金管理人负责赔付。</w:t>
      </w:r>
    </w:p>
    <w:p w14:paraId="02E5B076" w14:textId="187A2858" w:rsidR="003E6A3F" w:rsidRPr="005F0ABA" w:rsidRDefault="00176844">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（2）</w:t>
      </w:r>
      <w:proofErr w:type="gramStart"/>
      <w:r w:rsidR="006E6B76" w:rsidRPr="005F0ABA">
        <w:rPr>
          <w:rFonts w:ascii="宋体" w:hAnsi="宋体" w:hint="eastAsia"/>
          <w:color w:val="000000" w:themeColor="text1"/>
          <w:kern w:val="0"/>
          <w:sz w:val="24"/>
        </w:rPr>
        <w:t>若基金</w:t>
      </w:r>
      <w:proofErr w:type="gramEnd"/>
      <w:r w:rsidR="006E6B76" w:rsidRPr="005F0ABA">
        <w:rPr>
          <w:rFonts w:ascii="宋体" w:hAnsi="宋体" w:hint="eastAsia"/>
          <w:color w:val="000000" w:themeColor="text1"/>
          <w:kern w:val="0"/>
          <w:sz w:val="24"/>
        </w:rPr>
        <w:t>管理人计算的各类别基金份额净值已由基金托管人复核确认后公告，而且基金托管人未对计算过程提出疑义或要求基金管理人书面说明，基金份额净值出错给基金份额持有人造成损失的，应根据法律法规的规定对投资者或基金支付赔偿金，就实际向投资者或基金支付的赔偿金额，基金管理人与基金托管人按照管理费和托管费的比例各自承担相应的责任。</w:t>
      </w:r>
    </w:p>
    <w:p w14:paraId="40AF4A07" w14:textId="0018F16E" w:rsidR="003E6A3F" w:rsidRPr="005F0ABA" w:rsidRDefault="00176844">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（3）</w:t>
      </w:r>
      <w:r w:rsidR="006E6B76" w:rsidRPr="005F0ABA">
        <w:rPr>
          <w:rFonts w:ascii="宋体" w:hAnsi="宋体" w:cs="Arial"/>
          <w:color w:val="000000" w:themeColor="text1"/>
          <w:sz w:val="24"/>
        </w:rPr>
        <w:t>如基金管理人和基金托管人对各类</w:t>
      </w:r>
      <w:r w:rsidR="006E6B76" w:rsidRPr="005F0ABA">
        <w:rPr>
          <w:rFonts w:ascii="宋体" w:hAnsi="宋体" w:cs="Arial" w:hint="eastAsia"/>
          <w:color w:val="000000" w:themeColor="text1"/>
          <w:sz w:val="24"/>
        </w:rPr>
        <w:t>别</w:t>
      </w:r>
      <w:r w:rsidR="006E6B76" w:rsidRPr="005F0ABA">
        <w:rPr>
          <w:rFonts w:ascii="宋体" w:hAnsi="宋体" w:cs="Arial"/>
          <w:color w:val="000000" w:themeColor="text1"/>
          <w:sz w:val="24"/>
        </w:rPr>
        <w:t>基金份额净值的计算结果，虽然多次重新计算和核对，尚不能达成一致时，为避免不能按时公布各类</w:t>
      </w:r>
      <w:r w:rsidR="006E6B76" w:rsidRPr="005F0ABA">
        <w:rPr>
          <w:rFonts w:ascii="宋体" w:hAnsi="宋体" w:cs="Arial" w:hint="eastAsia"/>
          <w:color w:val="000000" w:themeColor="text1"/>
          <w:sz w:val="24"/>
        </w:rPr>
        <w:t>别</w:t>
      </w:r>
      <w:r w:rsidR="006E6B76" w:rsidRPr="005F0ABA">
        <w:rPr>
          <w:rFonts w:ascii="宋体" w:hAnsi="宋体" w:cs="Arial"/>
          <w:color w:val="000000" w:themeColor="text1"/>
          <w:sz w:val="24"/>
        </w:rPr>
        <w:t>基金份额净值的情形，以基金管理人的计算结果对外公布，由此给基金份额持有人和基金造成的</w:t>
      </w:r>
      <w:r w:rsidR="006E6B76" w:rsidRPr="005F0ABA">
        <w:rPr>
          <w:rFonts w:ascii="宋体" w:hAnsi="宋体" w:cs="Arial"/>
          <w:color w:val="000000" w:themeColor="text1"/>
          <w:sz w:val="24"/>
        </w:rPr>
        <w:lastRenderedPageBreak/>
        <w:t>损失，由基金管理人负责赔付。</w:t>
      </w:r>
    </w:p>
    <w:p w14:paraId="1FB7BA00" w14:textId="1B3543FD" w:rsidR="003E6A3F" w:rsidRPr="005F0ABA" w:rsidRDefault="00176844">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hint="eastAsia"/>
          <w:color w:val="000000" w:themeColor="text1"/>
          <w:kern w:val="0"/>
          <w:sz w:val="24"/>
        </w:rPr>
        <w:t>（4）</w:t>
      </w:r>
      <w:r w:rsidR="006E6B76" w:rsidRPr="005F0ABA">
        <w:rPr>
          <w:rFonts w:ascii="宋体" w:hAnsi="宋体" w:hint="eastAsia"/>
          <w:color w:val="000000" w:themeColor="text1"/>
          <w:kern w:val="0"/>
          <w:sz w:val="24"/>
        </w:rPr>
        <w:t>由于基金管理人提供的信息错误（包括但不限于基金申购或赎回金额等），进而导致基金份额净值计算错误而引起的基金份额持有人和基金财产的损失，由基金管理人负责赔付。</w:t>
      </w:r>
    </w:p>
    <w:p w14:paraId="6667591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w:t>
      </w:r>
      <w:r w:rsidRPr="005F0ABA">
        <w:rPr>
          <w:color w:val="000000" w:themeColor="text1"/>
        </w:rPr>
        <w:t xml:space="preserve"> </w:t>
      </w:r>
      <w:r w:rsidRPr="005F0ABA">
        <w:rPr>
          <w:rFonts w:ascii="宋体" w:hAnsi="宋体" w:cs="Arial" w:hint="eastAsia"/>
          <w:color w:val="000000" w:themeColor="text1"/>
          <w:sz w:val="24"/>
        </w:rPr>
        <w:t>由于不可抗力原因，或由于证券</w:t>
      </w:r>
      <w:r w:rsidRPr="005F0ABA">
        <w:rPr>
          <w:rFonts w:ascii="宋体" w:hAnsi="宋体" w:cs="Arial"/>
          <w:color w:val="000000" w:themeColor="text1"/>
          <w:sz w:val="24"/>
        </w:rPr>
        <w:t>/期货交易所、登记结算公司及存款银行发送的数据错误、第三方估值机构提供的数据错误，或国家会计政策变更、市场规则变更等，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r w:rsidRPr="005F0ABA">
        <w:rPr>
          <w:rFonts w:ascii="宋体" w:hAnsi="宋体" w:cs="Arial" w:hint="eastAsia"/>
          <w:color w:val="000000" w:themeColor="text1"/>
          <w:sz w:val="24"/>
        </w:rPr>
        <w:t>。</w:t>
      </w:r>
    </w:p>
    <w:p w14:paraId="25D2491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4.基金管理人和基金托管人由于各自技术系统设置而产生的净值计算尾差，以基金管理人计算结果为准。</w:t>
      </w:r>
    </w:p>
    <w:p w14:paraId="0F4B8B0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5.前述内容如法律法规或者监管部门另有规定的，从其规定</w:t>
      </w:r>
      <w:r w:rsidRPr="005F0ABA">
        <w:rPr>
          <w:rFonts w:ascii="宋体" w:hAnsi="宋体" w:cs="Arial" w:hint="eastAsia"/>
          <w:color w:val="000000" w:themeColor="text1"/>
          <w:sz w:val="24"/>
        </w:rPr>
        <w:t>处理。如果行业另有通行做法，在不违背法律法规且不损害投资者利益的前提下，基金管理人与基金托管人应本着平等和保护基金份额持有人利益的原则重新协商确定处理原则。</w:t>
      </w:r>
    </w:p>
    <w:p w14:paraId="6020FC1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（四）暂停估值与公告基金份额净值的情形</w:t>
      </w:r>
    </w:p>
    <w:p w14:paraId="6C7487F9" w14:textId="76785480"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1.基金投资所涉及的证券</w:t>
      </w:r>
      <w:r w:rsidR="00D370EA" w:rsidRPr="005F0ABA">
        <w:rPr>
          <w:rFonts w:ascii="宋体" w:hAnsi="宋体" w:cs="Arial"/>
          <w:color w:val="000000" w:themeColor="text1"/>
          <w:sz w:val="24"/>
        </w:rPr>
        <w:t>/</w:t>
      </w:r>
      <w:r w:rsidRPr="005F0ABA">
        <w:rPr>
          <w:rFonts w:ascii="宋体" w:hAnsi="宋体" w:cs="Arial"/>
          <w:color w:val="000000" w:themeColor="text1"/>
          <w:sz w:val="24"/>
        </w:rPr>
        <w:t>期货</w:t>
      </w:r>
      <w:r w:rsidRPr="005F0ABA">
        <w:rPr>
          <w:rFonts w:ascii="宋体" w:hAnsi="宋体" w:cs="Arial" w:hint="eastAsia"/>
          <w:color w:val="000000" w:themeColor="text1"/>
          <w:sz w:val="24"/>
        </w:rPr>
        <w:t>交易市场遇法定节假日或因其他原因暂停营业时；</w:t>
      </w:r>
    </w:p>
    <w:p w14:paraId="4D91587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2.因不可抗力</w:t>
      </w:r>
      <w:r w:rsidRPr="005F0ABA">
        <w:rPr>
          <w:rFonts w:ascii="宋体" w:hAnsi="宋体" w:cs="Arial" w:hint="eastAsia"/>
          <w:color w:val="000000" w:themeColor="text1"/>
          <w:sz w:val="24"/>
        </w:rPr>
        <w:t>或其他情形致使基金管理人、基金托管人无法准确评估基金资产价值时；</w:t>
      </w:r>
    </w:p>
    <w:p w14:paraId="5BFA99A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w:t>
      </w:r>
      <w:r w:rsidRPr="005F0ABA">
        <w:rPr>
          <w:rFonts w:ascii="宋体" w:hAnsi="宋体" w:cs="Arial" w:hint="eastAsia"/>
          <w:color w:val="000000" w:themeColor="text1"/>
          <w:sz w:val="24"/>
        </w:rPr>
        <w:t>当特定资产占前一估值日基金资产净值</w:t>
      </w:r>
      <w:r w:rsidRPr="005F0ABA">
        <w:rPr>
          <w:rFonts w:ascii="宋体" w:hAnsi="宋体" w:cs="Arial"/>
          <w:color w:val="000000" w:themeColor="text1"/>
          <w:sz w:val="24"/>
        </w:rPr>
        <w:t>50%以上的，经与基金托管人协商确认后，基金管理人应当暂停估</w:t>
      </w:r>
      <w:r w:rsidRPr="005F0ABA">
        <w:rPr>
          <w:rFonts w:ascii="宋体" w:hAnsi="宋体" w:cs="Arial" w:hint="eastAsia"/>
          <w:color w:val="000000" w:themeColor="text1"/>
          <w:sz w:val="24"/>
        </w:rPr>
        <w:t>值；</w:t>
      </w:r>
    </w:p>
    <w:p w14:paraId="37E4804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4.</w:t>
      </w:r>
      <w:r w:rsidRPr="005F0ABA">
        <w:rPr>
          <w:rFonts w:ascii="宋体" w:hAnsi="宋体" w:hint="eastAsia"/>
          <w:bCs/>
          <w:color w:val="000000" w:themeColor="text1"/>
          <w:sz w:val="24"/>
        </w:rPr>
        <w:t>法律法规规定、</w:t>
      </w:r>
      <w:r w:rsidRPr="005F0ABA">
        <w:rPr>
          <w:rFonts w:ascii="宋体" w:hAnsi="宋体" w:cs="Arial" w:hint="eastAsia"/>
          <w:color w:val="000000" w:themeColor="text1"/>
          <w:sz w:val="24"/>
        </w:rPr>
        <w:t>中国证监会和《基金合同》认定的其他情形。</w:t>
      </w:r>
    </w:p>
    <w:p w14:paraId="5419952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（五）实施</w:t>
      </w:r>
      <w:proofErr w:type="gramStart"/>
      <w:r w:rsidRPr="005F0ABA">
        <w:rPr>
          <w:rFonts w:ascii="宋体" w:hAnsi="宋体" w:cs="Arial" w:hint="eastAsia"/>
          <w:color w:val="000000" w:themeColor="text1"/>
          <w:sz w:val="24"/>
        </w:rPr>
        <w:t>侧袋机制</w:t>
      </w:r>
      <w:proofErr w:type="gramEnd"/>
      <w:r w:rsidRPr="005F0ABA">
        <w:rPr>
          <w:rFonts w:ascii="宋体" w:hAnsi="宋体" w:cs="Arial" w:hint="eastAsia"/>
          <w:color w:val="000000" w:themeColor="text1"/>
          <w:sz w:val="24"/>
        </w:rPr>
        <w:t>期间的基金资产估值</w:t>
      </w:r>
    </w:p>
    <w:p w14:paraId="747CF5C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本基金实施</w:t>
      </w:r>
      <w:proofErr w:type="gramStart"/>
      <w:r w:rsidRPr="005F0ABA">
        <w:rPr>
          <w:rFonts w:ascii="宋体" w:hAnsi="宋体" w:cs="Arial" w:hint="eastAsia"/>
          <w:color w:val="000000" w:themeColor="text1"/>
          <w:sz w:val="24"/>
        </w:rPr>
        <w:t>侧袋机制</w:t>
      </w:r>
      <w:proofErr w:type="gramEnd"/>
      <w:r w:rsidRPr="005F0ABA">
        <w:rPr>
          <w:rFonts w:ascii="宋体" w:hAnsi="宋体" w:cs="Arial" w:hint="eastAsia"/>
          <w:color w:val="000000" w:themeColor="text1"/>
          <w:sz w:val="24"/>
        </w:rPr>
        <w:t>的，应根据本部分的约定</w:t>
      </w:r>
      <w:proofErr w:type="gramStart"/>
      <w:r w:rsidRPr="005F0ABA">
        <w:rPr>
          <w:rFonts w:ascii="宋体" w:hAnsi="宋体" w:cs="Arial" w:hint="eastAsia"/>
          <w:color w:val="000000" w:themeColor="text1"/>
          <w:sz w:val="24"/>
        </w:rPr>
        <w:t>对主袋账户</w:t>
      </w:r>
      <w:proofErr w:type="gramEnd"/>
      <w:r w:rsidRPr="005F0ABA">
        <w:rPr>
          <w:rFonts w:ascii="宋体" w:hAnsi="宋体" w:cs="Arial" w:hint="eastAsia"/>
          <w:color w:val="000000" w:themeColor="text1"/>
          <w:sz w:val="24"/>
        </w:rPr>
        <w:t>资产进行估值并</w:t>
      </w:r>
      <w:proofErr w:type="gramStart"/>
      <w:r w:rsidRPr="005F0ABA">
        <w:rPr>
          <w:rFonts w:ascii="宋体" w:hAnsi="宋体" w:cs="Arial" w:hint="eastAsia"/>
          <w:color w:val="000000" w:themeColor="text1"/>
          <w:sz w:val="24"/>
        </w:rPr>
        <w:t>披露主袋账户</w:t>
      </w:r>
      <w:proofErr w:type="gramEnd"/>
      <w:r w:rsidRPr="005F0ABA">
        <w:rPr>
          <w:rFonts w:ascii="宋体" w:hAnsi="宋体" w:cs="Arial" w:hint="eastAsia"/>
          <w:color w:val="000000" w:themeColor="text1"/>
          <w:sz w:val="24"/>
        </w:rPr>
        <w:t>的基金资产净值和份额净值，暂停</w:t>
      </w:r>
      <w:proofErr w:type="gramStart"/>
      <w:r w:rsidRPr="005F0ABA">
        <w:rPr>
          <w:rFonts w:ascii="宋体" w:hAnsi="宋体" w:cs="Arial" w:hint="eastAsia"/>
          <w:color w:val="000000" w:themeColor="text1"/>
          <w:sz w:val="24"/>
        </w:rPr>
        <w:t>披露侧袋账户</w:t>
      </w:r>
      <w:proofErr w:type="gramEnd"/>
      <w:r w:rsidRPr="005F0ABA">
        <w:rPr>
          <w:rFonts w:ascii="宋体" w:hAnsi="宋体" w:cs="Arial" w:hint="eastAsia"/>
          <w:color w:val="000000" w:themeColor="text1"/>
          <w:sz w:val="24"/>
        </w:rPr>
        <w:t>份额净值。</w:t>
      </w:r>
    </w:p>
    <w:p w14:paraId="78EEAF7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（六）基金会计制度</w:t>
      </w:r>
    </w:p>
    <w:p w14:paraId="77CF052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按国家有关部门规定的会计制度执行。</w:t>
      </w:r>
    </w:p>
    <w:p w14:paraId="5C06AD8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（七）基金账册的建立</w:t>
      </w:r>
    </w:p>
    <w:p w14:paraId="073BB23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基金管理人进行基金会计核算并编制基金财务会计报告。基金管理人独立地</w:t>
      </w:r>
      <w:r w:rsidRPr="005F0ABA">
        <w:rPr>
          <w:rFonts w:ascii="宋体" w:hAnsi="宋体" w:cs="Arial" w:hint="eastAsia"/>
          <w:color w:val="000000" w:themeColor="text1"/>
          <w:sz w:val="24"/>
        </w:rPr>
        <w:lastRenderedPageBreak/>
        <w:t>设置、记录和保管本基金的全套账册。</w:t>
      </w:r>
      <w:proofErr w:type="gramStart"/>
      <w:r w:rsidRPr="005F0ABA">
        <w:rPr>
          <w:rFonts w:ascii="宋体" w:hAnsi="宋体" w:cs="Arial" w:hint="eastAsia"/>
          <w:color w:val="000000" w:themeColor="text1"/>
          <w:sz w:val="24"/>
        </w:rPr>
        <w:t>若基金</w:t>
      </w:r>
      <w:proofErr w:type="gramEnd"/>
      <w:r w:rsidRPr="005F0ABA">
        <w:rPr>
          <w:rFonts w:ascii="宋体" w:hAnsi="宋体" w:cs="Arial" w:hint="eastAsia"/>
          <w:color w:val="000000" w:themeColor="text1"/>
          <w:sz w:val="24"/>
        </w:rPr>
        <w:t>管理人和基金托管人对会计处理方法存在分歧，应以基金管理人的处理方法为准。若当日核对不符，暂时无法查找到错账的原因而影响到基金资产净值的计算和公告的，以基金管理人的账册为准。</w:t>
      </w:r>
    </w:p>
    <w:p w14:paraId="1831AFB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（八）基金财务报表与报告的编制和复核</w:t>
      </w:r>
    </w:p>
    <w:p w14:paraId="452EEC5A"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1.财务报表的编制</w:t>
      </w:r>
    </w:p>
    <w:p w14:paraId="342E0F9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基金财务报表由基金管理人编制，基金托管人复核。</w:t>
      </w:r>
    </w:p>
    <w:p w14:paraId="6619C87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2.报表复核</w:t>
      </w:r>
    </w:p>
    <w:p w14:paraId="062D1DB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基金托管人在收到基金管理人编制的基金财务报表后，进行独立的复核。核对不符时，应及时通知基金管理人共同查出原因，进行调整，直至双方数据完全一致。</w:t>
      </w:r>
    </w:p>
    <w:p w14:paraId="0BD9685F"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3.财务报表的编制与复核时间安排</w:t>
      </w:r>
    </w:p>
    <w:p w14:paraId="2E85C02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(1)报表的编制</w:t>
      </w:r>
    </w:p>
    <w:p w14:paraId="5C29887C" w14:textId="30996B16"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基金管理人应当在每月结束后</w:t>
      </w:r>
      <w:r w:rsidRPr="005F0ABA">
        <w:rPr>
          <w:rFonts w:ascii="宋体" w:hAnsi="宋体" w:cs="Arial"/>
          <w:color w:val="000000" w:themeColor="text1"/>
          <w:sz w:val="24"/>
        </w:rPr>
        <w:t>5个工作日内完成月度报表的编制</w:t>
      </w:r>
      <w:r w:rsidRPr="005F0ABA">
        <w:rPr>
          <w:rFonts w:ascii="宋体" w:hAnsi="宋体" w:cs="Arial" w:hint="eastAsia"/>
          <w:color w:val="000000" w:themeColor="text1"/>
          <w:sz w:val="24"/>
        </w:rPr>
        <w:t>；在每个季度结束之日起15个工作日内完成基金季度报告的编制；在上半年结束之日起2个月</w:t>
      </w:r>
      <w:r w:rsidRPr="005F0ABA">
        <w:rPr>
          <w:rFonts w:ascii="宋体" w:hAnsi="宋体" w:cs="Arial"/>
          <w:color w:val="000000" w:themeColor="text1"/>
          <w:sz w:val="24"/>
        </w:rPr>
        <w:t>内完成基金</w:t>
      </w:r>
      <w:r w:rsidRPr="005F0ABA">
        <w:rPr>
          <w:rFonts w:ascii="宋体" w:hAnsi="宋体" w:cs="Arial" w:hint="eastAsia"/>
          <w:color w:val="000000" w:themeColor="text1"/>
          <w:sz w:val="24"/>
        </w:rPr>
        <w:t>中期报告的编制；在每年结束之日起3个月</w:t>
      </w:r>
      <w:r w:rsidRPr="005F0ABA">
        <w:rPr>
          <w:rFonts w:ascii="宋体" w:hAnsi="宋体" w:cs="Arial"/>
          <w:color w:val="000000" w:themeColor="text1"/>
          <w:sz w:val="24"/>
        </w:rPr>
        <w:t>内完成基金年度报告的编制。基金年度报告的财务会计报告应当经过</w:t>
      </w:r>
      <w:r w:rsidRPr="005F0ABA">
        <w:rPr>
          <w:rFonts w:ascii="宋体" w:hAnsi="宋体" w:cs="Arial" w:hint="eastAsia"/>
          <w:color w:val="000000" w:themeColor="text1"/>
          <w:sz w:val="24"/>
        </w:rPr>
        <w:t>符合《中华人民共和国</w:t>
      </w:r>
      <w:hyperlink r:id="rId28" w:tgtFrame="_blank" w:history="1">
        <w:r w:rsidRPr="005F0ABA">
          <w:rPr>
            <w:rFonts w:hint="eastAsia"/>
            <w:color w:val="000000" w:themeColor="text1"/>
            <w:sz w:val="24"/>
          </w:rPr>
          <w:t>证券法</w:t>
        </w:r>
      </w:hyperlink>
      <w:r w:rsidRPr="005F0ABA">
        <w:rPr>
          <w:rFonts w:ascii="宋体" w:hAnsi="宋体" w:cs="Arial" w:hint="eastAsia"/>
          <w:color w:val="000000" w:themeColor="text1"/>
          <w:sz w:val="24"/>
        </w:rPr>
        <w:t>》规定的会计师事务所审计。《基金合同》生效不足两个月的，基金管理人可以不编制当期季度报告、中期报告或者年度报告。</w:t>
      </w:r>
    </w:p>
    <w:p w14:paraId="1F8CA1A5" w14:textId="77777777" w:rsidR="003E6A3F" w:rsidRPr="005F0ABA" w:rsidRDefault="006E6B76">
      <w:pPr>
        <w:pStyle w:val="a0"/>
        <w:adjustRightInd w:val="0"/>
        <w:snapToGrid w:val="0"/>
        <w:spacing w:line="360" w:lineRule="auto"/>
        <w:ind w:firstLine="480"/>
        <w:rPr>
          <w:rFonts w:ascii="宋体" w:hAnsi="宋体" w:cs="Arial"/>
          <w:color w:val="000000" w:themeColor="text1"/>
          <w:sz w:val="24"/>
        </w:rPr>
      </w:pPr>
      <w:r w:rsidRPr="005F0ABA">
        <w:rPr>
          <w:rFonts w:ascii="宋体" w:hAnsi="宋体" w:cs="Arial"/>
          <w:color w:val="000000" w:themeColor="text1"/>
          <w:sz w:val="24"/>
        </w:rPr>
        <w:t>(2)报表的复核</w:t>
      </w:r>
    </w:p>
    <w:p w14:paraId="71220277" w14:textId="77777777" w:rsidR="003E6A3F" w:rsidRPr="005F0ABA" w:rsidRDefault="006E6B76">
      <w:pPr>
        <w:pStyle w:val="a0"/>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40C59308" w14:textId="77777777" w:rsidR="003E6A3F" w:rsidRPr="005F0ABA" w:rsidRDefault="006E6B76">
      <w:pPr>
        <w:pStyle w:val="a0"/>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基金管理人应留足充分的时间，便于基金托管人复核相关报表及报告。</w:t>
      </w:r>
    </w:p>
    <w:p w14:paraId="76A660DC" w14:textId="77777777" w:rsidR="003E6A3F" w:rsidRPr="005F0ABA" w:rsidRDefault="006E6B76">
      <w:pPr>
        <w:pStyle w:val="a0"/>
        <w:adjustRightInd w:val="0"/>
        <w:snapToGrid w:val="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（九）基金管理人应在编制季度报告、中期报告或者年度报告之前及时向基金托管人提供基金业绩比较基准的基础数据和编制结果。</w:t>
      </w:r>
    </w:p>
    <w:p w14:paraId="67DED8A6" w14:textId="77777777" w:rsidR="003E6A3F" w:rsidRPr="005F0ABA" w:rsidRDefault="003E6A3F">
      <w:pPr>
        <w:pStyle w:val="a0"/>
        <w:adjustRightInd w:val="0"/>
        <w:snapToGrid w:val="0"/>
        <w:spacing w:line="360" w:lineRule="auto"/>
        <w:ind w:firstLineChars="0" w:firstLine="0"/>
        <w:rPr>
          <w:rFonts w:ascii="宋体" w:hAnsi="宋体" w:cs="Arial"/>
          <w:color w:val="000000" w:themeColor="text1"/>
          <w:sz w:val="24"/>
        </w:rPr>
      </w:pPr>
    </w:p>
    <w:p w14:paraId="6B2A348A"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89" w:name="_Toc124325893"/>
      <w:r w:rsidRPr="005F0ABA">
        <w:rPr>
          <w:rFonts w:ascii="宋体" w:eastAsia="宋体" w:hAnsi="宋体" w:hint="eastAsia"/>
          <w:color w:val="000000" w:themeColor="text1"/>
          <w:sz w:val="30"/>
        </w:rPr>
        <w:t>九、基金收益分配</w:t>
      </w:r>
      <w:bookmarkEnd w:id="89"/>
    </w:p>
    <w:p w14:paraId="4D2E82F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基金收益分配是指按规定将基金的可分配收益按基金份额进行比例分配。</w:t>
      </w:r>
    </w:p>
    <w:p w14:paraId="0C63799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（一）基金收益分配的原则</w:t>
      </w:r>
    </w:p>
    <w:p w14:paraId="5F3BE48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基金收益分配应遵循下列原则：</w:t>
      </w:r>
    </w:p>
    <w:p w14:paraId="17BBE17F" w14:textId="6BC044C6"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lastRenderedPageBreak/>
        <w:t>1、由于本基金</w:t>
      </w:r>
      <w:r w:rsidR="00B17E33" w:rsidRPr="005F0ABA">
        <w:rPr>
          <w:rFonts w:ascii="宋体" w:hAnsi="宋体" w:cs="Arial" w:hint="eastAsia"/>
          <w:color w:val="000000" w:themeColor="text1"/>
          <w:sz w:val="24"/>
        </w:rPr>
        <w:t>费用不同</w:t>
      </w:r>
      <w:r w:rsidRPr="005F0ABA">
        <w:rPr>
          <w:rFonts w:ascii="宋体" w:hAnsi="宋体" w:cs="Arial"/>
          <w:color w:val="000000" w:themeColor="text1"/>
          <w:sz w:val="24"/>
        </w:rPr>
        <w:t>，各类别基金份额对应的可供分配利润将有所不同；</w:t>
      </w:r>
    </w:p>
    <w:p w14:paraId="1DC68AA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w:t>
      </w:r>
      <w:r w:rsidRPr="005F0ABA">
        <w:rPr>
          <w:rFonts w:ascii="宋体" w:hAnsi="宋体" w:cs="Arial" w:hint="eastAsia"/>
          <w:color w:val="000000" w:themeColor="text1"/>
          <w:sz w:val="24"/>
        </w:rPr>
        <w:t>、在符合有关基金分红条件的前提下，基金管理人可以根据实际情况进行收益分配，具体分配方案以公告为准，若《基金合同》生效不满</w:t>
      </w:r>
      <w:r w:rsidRPr="005F0ABA">
        <w:rPr>
          <w:rFonts w:ascii="宋体" w:hAnsi="宋体" w:cs="Arial"/>
          <w:color w:val="000000" w:themeColor="text1"/>
          <w:sz w:val="24"/>
        </w:rPr>
        <w:t>3个月可不进行收益分配；</w:t>
      </w:r>
    </w:p>
    <w:p w14:paraId="64C2B18A"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本基金收益分配方式分两种：现金分红与红利再投资，投资者可选择现金红利或将现金红利自动转为相应类别的基金份额进行再投资；若投资者不选择，本基金默认的收益分配方式是现金分红；A类和C类基金份额持有人可分别选择不同的分红方式；</w:t>
      </w:r>
    </w:p>
    <w:p w14:paraId="1C21D8C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4、基金收益分配后各类别基金份额净值不能低于面值，即基金收益分配基准日的各类别基金份额净值减去每单位该类别基金份额收益分配金额后不能低于面值；</w:t>
      </w:r>
    </w:p>
    <w:p w14:paraId="5986BF8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5</w:t>
      </w:r>
      <w:r w:rsidRPr="005F0ABA">
        <w:rPr>
          <w:rFonts w:ascii="宋体" w:hAnsi="宋体" w:cs="Arial" w:hint="eastAsia"/>
          <w:color w:val="000000" w:themeColor="text1"/>
          <w:sz w:val="24"/>
        </w:rPr>
        <w:t>、本基金同一类别的每一基金份额享有同等分配权；</w:t>
      </w:r>
    </w:p>
    <w:p w14:paraId="216EB1CE" w14:textId="4B71F129"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6、</w:t>
      </w:r>
      <w:r w:rsidRPr="005F0ABA">
        <w:rPr>
          <w:rFonts w:ascii="宋体" w:hAnsi="宋体" w:cs="Arial" w:hint="eastAsia"/>
          <w:color w:val="000000" w:themeColor="text1"/>
          <w:sz w:val="24"/>
        </w:rPr>
        <w:t>对于收益分配方式为红利再投资的基金份额，每份基金份额（即原份额）红利再投资获得的基金份额的持有期限，按原份额的持有期限计算，即红利再投资获得的基金份额与原份额“</w:t>
      </w:r>
      <w:r w:rsidRPr="005F0ABA">
        <w:rPr>
          <w:rFonts w:ascii="宋体" w:hAnsi="宋体" w:cs="Arial"/>
          <w:color w:val="000000" w:themeColor="text1"/>
          <w:sz w:val="24"/>
        </w:rPr>
        <w:t>120天持有期限</w:t>
      </w:r>
      <w:r w:rsidRPr="005F0ABA">
        <w:rPr>
          <w:rFonts w:ascii="宋体" w:hAnsi="宋体" w:cs="Arial" w:hint="eastAsia"/>
          <w:color w:val="000000" w:themeColor="text1"/>
          <w:sz w:val="24"/>
        </w:rPr>
        <w:t>到期日”相同；</w:t>
      </w:r>
    </w:p>
    <w:p w14:paraId="2EA7E6C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7</w:t>
      </w:r>
      <w:r w:rsidRPr="005F0ABA">
        <w:rPr>
          <w:rFonts w:ascii="宋体" w:hAnsi="宋体" w:cs="Arial" w:hint="eastAsia"/>
          <w:color w:val="000000" w:themeColor="text1"/>
          <w:sz w:val="24"/>
        </w:rPr>
        <w:t>、法律法规或监管机关另有规定的，从其规定。</w:t>
      </w:r>
    </w:p>
    <w:p w14:paraId="7A4E44CC" w14:textId="0CC29138" w:rsidR="003E6A3F" w:rsidRPr="005F0ABA" w:rsidRDefault="004E6D6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在符合法律法规及基金合同规定，且对基金份额持有人利益无实质不利影响的情况下，经与基金托管人协商一致并履行适当程序后，基金管理人可对基金收益分配政策进行调整，并于调整实施日前在规定媒介公告。</w:t>
      </w:r>
    </w:p>
    <w:p w14:paraId="27B24FC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（二）基金收益分配的时间和程序</w:t>
      </w:r>
    </w:p>
    <w:p w14:paraId="7EAA6C83"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本基金收益分配方案由基金管理人拟定，并由基金托管人复核，依照《信息披露办法》的有关规定在规定媒介公告。基金收益分配方案公告后</w:t>
      </w:r>
      <w:r w:rsidRPr="005F0ABA">
        <w:rPr>
          <w:rFonts w:ascii="宋体" w:hAnsi="宋体" w:cs="Arial"/>
          <w:color w:val="000000" w:themeColor="text1"/>
          <w:sz w:val="24"/>
        </w:rPr>
        <w:t>(依据具体方案的规定)，基金管理人就支付的现金红利向基金托管人发送划款指令，基金托管人按照基金管理人的指令及时进行分红资金的划付。</w:t>
      </w:r>
    </w:p>
    <w:p w14:paraId="6B11CFC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基金收益分配时所发生的银行转账或其他手续费用由投资者自行承担。当投资者的现金红利小于一定金额，不足以支付银行转账或其他手续费用时，基金登记机构可将基金份额持有人的现金红利自动转为</w:t>
      </w:r>
      <w:r w:rsidRPr="005F0ABA">
        <w:rPr>
          <w:rFonts w:ascii="宋体" w:hAnsi="宋体" w:hint="eastAsia"/>
          <w:bCs/>
          <w:color w:val="000000" w:themeColor="text1"/>
          <w:sz w:val="24"/>
        </w:rPr>
        <w:t>相应类别的</w:t>
      </w:r>
      <w:r w:rsidRPr="005F0ABA">
        <w:rPr>
          <w:rFonts w:ascii="宋体" w:hAnsi="宋体" w:cs="Arial" w:hint="eastAsia"/>
          <w:color w:val="000000" w:themeColor="text1"/>
          <w:sz w:val="24"/>
        </w:rPr>
        <w:t>基金份额。红利再投资的计算方法，依照《业务规则》执行。</w:t>
      </w:r>
    </w:p>
    <w:p w14:paraId="255CFE9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（三）实施</w:t>
      </w:r>
      <w:proofErr w:type="gramStart"/>
      <w:r w:rsidRPr="005F0ABA">
        <w:rPr>
          <w:rFonts w:ascii="宋体" w:hAnsi="宋体" w:cs="Arial" w:hint="eastAsia"/>
          <w:color w:val="000000" w:themeColor="text1"/>
          <w:sz w:val="24"/>
        </w:rPr>
        <w:t>侧袋机制</w:t>
      </w:r>
      <w:proofErr w:type="gramEnd"/>
      <w:r w:rsidRPr="005F0ABA">
        <w:rPr>
          <w:rFonts w:ascii="宋体" w:hAnsi="宋体" w:cs="Arial" w:hint="eastAsia"/>
          <w:color w:val="000000" w:themeColor="text1"/>
          <w:sz w:val="24"/>
        </w:rPr>
        <w:t>期间的收益分配</w:t>
      </w:r>
    </w:p>
    <w:p w14:paraId="7BA036C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本基金实施</w:t>
      </w:r>
      <w:proofErr w:type="gramStart"/>
      <w:r w:rsidRPr="005F0ABA">
        <w:rPr>
          <w:rFonts w:ascii="宋体" w:hAnsi="宋体" w:cs="Arial" w:hint="eastAsia"/>
          <w:color w:val="000000" w:themeColor="text1"/>
          <w:sz w:val="24"/>
        </w:rPr>
        <w:t>侧袋机制</w:t>
      </w:r>
      <w:proofErr w:type="gramEnd"/>
      <w:r w:rsidRPr="005F0ABA">
        <w:rPr>
          <w:rFonts w:ascii="宋体" w:hAnsi="宋体" w:cs="Arial" w:hint="eastAsia"/>
          <w:color w:val="000000" w:themeColor="text1"/>
          <w:sz w:val="24"/>
        </w:rPr>
        <w:t>的，</w:t>
      </w:r>
      <w:proofErr w:type="gramStart"/>
      <w:r w:rsidRPr="005F0ABA">
        <w:rPr>
          <w:rFonts w:ascii="宋体" w:hAnsi="宋体" w:cs="Arial" w:hint="eastAsia"/>
          <w:color w:val="000000" w:themeColor="text1"/>
          <w:sz w:val="24"/>
        </w:rPr>
        <w:t>侧袋账户</w:t>
      </w:r>
      <w:proofErr w:type="gramEnd"/>
      <w:r w:rsidRPr="005F0ABA">
        <w:rPr>
          <w:rFonts w:ascii="宋体" w:hAnsi="宋体" w:cs="Arial" w:hint="eastAsia"/>
          <w:color w:val="000000" w:themeColor="text1"/>
          <w:sz w:val="24"/>
        </w:rPr>
        <w:t>不进行收益分配，详见招募说明书的规定。</w:t>
      </w:r>
    </w:p>
    <w:p w14:paraId="4C627285" w14:textId="77777777" w:rsidR="003E6A3F" w:rsidRPr="005F0ABA" w:rsidRDefault="003E6A3F">
      <w:pPr>
        <w:adjustRightInd w:val="0"/>
        <w:snapToGrid w:val="0"/>
        <w:spacing w:line="360" w:lineRule="auto"/>
        <w:rPr>
          <w:rFonts w:ascii="宋体" w:hAnsi="宋体" w:cs="Arial"/>
          <w:color w:val="000000" w:themeColor="text1"/>
          <w:sz w:val="24"/>
        </w:rPr>
      </w:pPr>
    </w:p>
    <w:p w14:paraId="77D02677"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90" w:name="_Toc124325894"/>
      <w:r w:rsidRPr="005F0ABA">
        <w:rPr>
          <w:rFonts w:ascii="宋体" w:eastAsia="宋体" w:hAnsi="宋体" w:hint="eastAsia"/>
          <w:color w:val="000000" w:themeColor="text1"/>
          <w:sz w:val="30"/>
        </w:rPr>
        <w:t>十、基金信息披露</w:t>
      </w:r>
      <w:bookmarkEnd w:id="90"/>
    </w:p>
    <w:p w14:paraId="07608E6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（一）保密义务</w:t>
      </w:r>
    </w:p>
    <w:p w14:paraId="1E42EF7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08EA567F"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1.非因基金管理人和基金托管人的原因导致保密信息被披露、泄露或公开；</w:t>
      </w:r>
    </w:p>
    <w:p w14:paraId="2104EF93"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2.基金管理人和基金托管人为遵守和服从法院判决或裁定、仲裁裁决或中国证监会等监管机构的命令、决定所做出的信息披露或公开。</w:t>
      </w:r>
    </w:p>
    <w:p w14:paraId="55679F0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w:t>
      </w:r>
      <w:r w:rsidRPr="005F0ABA">
        <w:rPr>
          <w:rFonts w:ascii="宋体" w:hAnsi="宋体" w:cs="Arial" w:hint="eastAsia"/>
          <w:color w:val="000000" w:themeColor="text1"/>
          <w:sz w:val="24"/>
        </w:rPr>
        <w:t>基金管理人和基金托管人在要求保密的前提下对自身聘请的外部法律顾问、财务顾问、审计人员、技术顾问等做出的必要信息披露。</w:t>
      </w:r>
    </w:p>
    <w:p w14:paraId="034D04C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（二）信息披露的内容</w:t>
      </w:r>
    </w:p>
    <w:p w14:paraId="3CBDC87F" w14:textId="77777777" w:rsidR="003E6A3F" w:rsidRPr="005F0ABA" w:rsidRDefault="006E6B76">
      <w:pPr>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的信息披露内容主要包括基金招募说明书、《基金合同》、基金托管协议、基金产品资料概要、基金份额发售公告、《基金合同》生效公告、基金净值信息、基金份额申购、赎回价格、基金定期报告、包括基金年度报告、基金中期报告和基金季度报告（含资产组合季度报告）、临时报告、澄清公告、基金份额持有人大会决议、清算报告、</w:t>
      </w:r>
      <w:r w:rsidRPr="005F0ABA">
        <w:rPr>
          <w:rFonts w:ascii="宋体" w:hAnsi="宋体" w:hint="eastAsia"/>
          <w:bCs/>
          <w:color w:val="000000" w:themeColor="text1"/>
          <w:sz w:val="24"/>
        </w:rPr>
        <w:t>国债期货交易的信息披露、投资资产支持证券的信息披露、信用衍生</w:t>
      </w:r>
      <w:proofErr w:type="gramStart"/>
      <w:r w:rsidRPr="005F0ABA">
        <w:rPr>
          <w:rFonts w:ascii="宋体" w:hAnsi="宋体" w:hint="eastAsia"/>
          <w:bCs/>
          <w:color w:val="000000" w:themeColor="text1"/>
          <w:sz w:val="24"/>
        </w:rPr>
        <w:t>品投资</w:t>
      </w:r>
      <w:proofErr w:type="gramEnd"/>
      <w:r w:rsidRPr="005F0ABA">
        <w:rPr>
          <w:rFonts w:ascii="宋体" w:hAnsi="宋体" w:hint="eastAsia"/>
          <w:bCs/>
          <w:color w:val="000000" w:themeColor="text1"/>
          <w:sz w:val="24"/>
        </w:rPr>
        <w:t>情况公告、实施</w:t>
      </w:r>
      <w:proofErr w:type="gramStart"/>
      <w:r w:rsidRPr="005F0ABA">
        <w:rPr>
          <w:rFonts w:ascii="宋体" w:hAnsi="宋体" w:hint="eastAsia"/>
          <w:bCs/>
          <w:color w:val="000000" w:themeColor="text1"/>
          <w:sz w:val="24"/>
        </w:rPr>
        <w:t>侧袋机制</w:t>
      </w:r>
      <w:proofErr w:type="gramEnd"/>
      <w:r w:rsidRPr="005F0ABA">
        <w:rPr>
          <w:rFonts w:ascii="宋体" w:hAnsi="宋体" w:hint="eastAsia"/>
          <w:bCs/>
          <w:color w:val="000000" w:themeColor="text1"/>
          <w:sz w:val="24"/>
        </w:rPr>
        <w:t>期间的信息披露及</w:t>
      </w:r>
      <w:r w:rsidRPr="005F0ABA">
        <w:rPr>
          <w:rFonts w:ascii="宋体" w:hAnsi="宋体" w:cs="Arial" w:hint="eastAsia"/>
          <w:color w:val="000000" w:themeColor="text1"/>
          <w:sz w:val="24"/>
        </w:rPr>
        <w:t>中国证监会规定的其他信息。基金年度报告</w:t>
      </w:r>
      <w:r w:rsidRPr="005F0ABA">
        <w:rPr>
          <w:rFonts w:ascii="宋体" w:hAnsi="宋体" w:cs="Arial" w:hint="eastAsia"/>
          <w:bCs/>
          <w:color w:val="000000" w:themeColor="text1"/>
          <w:sz w:val="24"/>
        </w:rPr>
        <w:t>中的财务会计报告</w:t>
      </w:r>
      <w:r w:rsidRPr="005F0ABA">
        <w:rPr>
          <w:rFonts w:ascii="宋体" w:hAnsi="宋体" w:cs="Arial" w:hint="eastAsia"/>
          <w:color w:val="000000" w:themeColor="text1"/>
          <w:sz w:val="24"/>
        </w:rPr>
        <w:t>需</w:t>
      </w:r>
      <w:proofErr w:type="gramStart"/>
      <w:r w:rsidRPr="005F0ABA">
        <w:rPr>
          <w:rFonts w:ascii="宋体" w:hAnsi="宋体" w:cs="Arial" w:hint="eastAsia"/>
          <w:color w:val="000000" w:themeColor="text1"/>
          <w:sz w:val="24"/>
        </w:rPr>
        <w:t>经符合</w:t>
      </w:r>
      <w:proofErr w:type="gramEnd"/>
      <w:r w:rsidRPr="005F0ABA">
        <w:rPr>
          <w:rFonts w:ascii="宋体" w:hAnsi="宋体" w:cs="Arial" w:hint="eastAsia"/>
          <w:color w:val="000000" w:themeColor="text1"/>
          <w:sz w:val="24"/>
        </w:rPr>
        <w:t>《中华人民共和国证券法》规定的会计师事务所审计后，方可披露。</w:t>
      </w:r>
    </w:p>
    <w:p w14:paraId="367568E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（三）基金托管人和基金管理人在信息披露中的职责和信息披露程序</w:t>
      </w:r>
    </w:p>
    <w:p w14:paraId="5145DC2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1.职责</w:t>
      </w:r>
    </w:p>
    <w:p w14:paraId="001C9307" w14:textId="556544F8"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托管人和基金管理人在信息披露过程中应以保护基金份额持有人利益为宗旨，诚实信用，严守秘密。基金管理人负责办理与基金有关的信息披露事宜，基金托管人应当按照相关法律法规和《基金合同》的约定，对于上一款规定的应由基金托管人复核的事项进行复核，基金托管人复核无误后，由基金管理人予以公布。</w:t>
      </w:r>
      <w:r w:rsidR="00D7768D" w:rsidRPr="005F0ABA">
        <w:rPr>
          <w:rFonts w:ascii="宋体" w:hAnsi="宋体" w:cs="Arial" w:hint="eastAsia"/>
          <w:color w:val="000000" w:themeColor="text1"/>
          <w:sz w:val="24"/>
        </w:rPr>
        <w:t>基金管理人在信息披露时，应说明基金托管人所复核的数据和信息。对于基金托管</w:t>
      </w:r>
      <w:r w:rsidR="00D7768D" w:rsidRPr="005F0ABA">
        <w:rPr>
          <w:rFonts w:ascii="宋体" w:hAnsi="宋体" w:cs="Arial" w:hint="eastAsia"/>
          <w:color w:val="000000" w:themeColor="text1"/>
          <w:sz w:val="24"/>
        </w:rPr>
        <w:lastRenderedPageBreak/>
        <w:t>人复核结果与</w:t>
      </w:r>
      <w:r w:rsidR="00D7768D" w:rsidRPr="005F0ABA">
        <w:rPr>
          <w:rFonts w:hint="eastAsia"/>
          <w:bCs/>
          <w:color w:val="000000" w:themeColor="text1"/>
          <w:sz w:val="24"/>
        </w:rPr>
        <w:t>基金</w:t>
      </w:r>
      <w:r w:rsidR="00D7768D" w:rsidRPr="005F0ABA">
        <w:rPr>
          <w:rFonts w:ascii="宋体" w:hAnsi="宋体" w:cs="Arial" w:hint="eastAsia"/>
          <w:color w:val="000000" w:themeColor="text1"/>
          <w:sz w:val="24"/>
        </w:rPr>
        <w:t>管理人无法达成一致的，基金管理人应按照有关法律法规进行信息披露。</w:t>
      </w:r>
    </w:p>
    <w:p w14:paraId="63411D8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对于不需要基金托管人复核的信息，基金管理人在公告前应告知基金托管人。</w:t>
      </w:r>
    </w:p>
    <w:p w14:paraId="5415ACEA"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基金管理人和基金托管人应积极配合、互相监督，保证其履行按照法定方式和限时披露的义务。</w:t>
      </w:r>
    </w:p>
    <w:p w14:paraId="5E97671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基金管理人应当在中国证监会规定的时间内，将应予披露的基金信息通过规定媒介披露。根据法律法规应由基金托管人公开披露的信息，基金托管人将通过规定媒介或基金托管人的互联网网站公开披露。</w:t>
      </w:r>
    </w:p>
    <w:p w14:paraId="715A041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当出现下述情况时，基金管理人和基金托管人可暂停或延迟披露基金相关信息：</w:t>
      </w:r>
    </w:p>
    <w:p w14:paraId="255CBFE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(1)不可抗力；</w:t>
      </w:r>
    </w:p>
    <w:p w14:paraId="723BB67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(2)基金投资所涉及的证券/期货</w:t>
      </w:r>
      <w:r w:rsidRPr="005F0ABA">
        <w:rPr>
          <w:rFonts w:ascii="宋体" w:hAnsi="宋体" w:cs="Arial" w:hint="eastAsia"/>
          <w:color w:val="000000" w:themeColor="text1"/>
          <w:sz w:val="24"/>
        </w:rPr>
        <w:t>交易所遇法定节假日或因其他原因暂停营业时；</w:t>
      </w:r>
    </w:p>
    <w:p w14:paraId="77D31AF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w:t>
      </w:r>
      <w:r w:rsidRPr="005F0ABA">
        <w:rPr>
          <w:rFonts w:ascii="宋体" w:hAnsi="宋体" w:hint="eastAsia"/>
          <w:bCs/>
          <w:color w:val="000000" w:themeColor="text1"/>
          <w:sz w:val="24"/>
        </w:rPr>
        <w:t>出现《基金合同》约定的暂停估值的情形</w:t>
      </w:r>
      <w:r w:rsidRPr="005F0ABA">
        <w:rPr>
          <w:rFonts w:ascii="宋体" w:hAnsi="宋体" w:cs="Arial" w:hint="eastAsia"/>
          <w:color w:val="000000" w:themeColor="text1"/>
          <w:sz w:val="24"/>
        </w:rPr>
        <w:t>；</w:t>
      </w:r>
    </w:p>
    <w:p w14:paraId="78BE50C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(4)法律法规、</w:t>
      </w:r>
      <w:r w:rsidRPr="005F0ABA">
        <w:rPr>
          <w:rFonts w:ascii="宋体" w:hAnsi="宋体" w:cs="Arial" w:hint="eastAsia"/>
          <w:color w:val="000000" w:themeColor="text1"/>
          <w:sz w:val="24"/>
        </w:rPr>
        <w:t>中国证监会或《基金合同》认定的其他情形。</w:t>
      </w:r>
    </w:p>
    <w:p w14:paraId="382D63B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2.程序</w:t>
      </w:r>
    </w:p>
    <w:p w14:paraId="40574EB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按有关规定须经基金托管人复核的信息披露文件，由基金管理人起草、并经基金托管人复核后由基金管理人公告。发生《基金合同》中规定需要披露的事项时，按《基金合同》规定公布。</w:t>
      </w:r>
    </w:p>
    <w:p w14:paraId="7073267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3.信息文本的存放</w:t>
      </w:r>
    </w:p>
    <w:p w14:paraId="0C9732E5" w14:textId="77777777" w:rsidR="003E6A3F" w:rsidRPr="005F0ABA" w:rsidRDefault="006E6B76">
      <w:pPr>
        <w:pStyle w:val="a0"/>
        <w:spacing w:line="360" w:lineRule="auto"/>
        <w:ind w:firstLine="480"/>
        <w:rPr>
          <w:rFonts w:ascii="宋体" w:hAnsi="宋体" w:cs="Arial"/>
          <w:color w:val="000000" w:themeColor="text1"/>
          <w:sz w:val="24"/>
        </w:rPr>
      </w:pPr>
      <w:r w:rsidRPr="005F0ABA">
        <w:rPr>
          <w:rFonts w:ascii="宋体" w:hAnsi="宋体" w:cs="Arial" w:hint="eastAsia"/>
          <w:color w:val="000000" w:themeColor="text1"/>
          <w:sz w:val="24"/>
        </w:rPr>
        <w:t>予以披露的信息文本，存放在基金管理人</w:t>
      </w:r>
      <w:r w:rsidRPr="005F0ABA">
        <w:rPr>
          <w:rFonts w:ascii="宋体" w:hAnsi="宋体" w:cs="Arial"/>
          <w:color w:val="000000" w:themeColor="text1"/>
          <w:sz w:val="24"/>
        </w:rPr>
        <w:t>/基金托管人处，投资者可以免费查</w:t>
      </w:r>
      <w:r w:rsidRPr="005F0ABA">
        <w:rPr>
          <w:rFonts w:ascii="宋体" w:hAnsi="宋体" w:cs="Arial" w:hint="eastAsia"/>
          <w:color w:val="000000" w:themeColor="text1"/>
          <w:sz w:val="24"/>
        </w:rPr>
        <w:t>阅。在支付工本费后可在合理时间获得上述文件的复制件或复印件。基金管理人和基金托管人应保证文本的内容与所公告的内容完全一致。</w:t>
      </w:r>
    </w:p>
    <w:p w14:paraId="1F882D5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（四）实施</w:t>
      </w:r>
      <w:proofErr w:type="gramStart"/>
      <w:r w:rsidRPr="005F0ABA">
        <w:rPr>
          <w:rFonts w:ascii="宋体" w:hAnsi="宋体" w:cs="Arial" w:hint="eastAsia"/>
          <w:color w:val="000000" w:themeColor="text1"/>
          <w:sz w:val="24"/>
        </w:rPr>
        <w:t>侧袋机制</w:t>
      </w:r>
      <w:proofErr w:type="gramEnd"/>
      <w:r w:rsidRPr="005F0ABA">
        <w:rPr>
          <w:rFonts w:ascii="宋体" w:hAnsi="宋体" w:cs="Arial" w:hint="eastAsia"/>
          <w:color w:val="000000" w:themeColor="text1"/>
          <w:sz w:val="24"/>
        </w:rPr>
        <w:t>期间的信息披露</w:t>
      </w:r>
    </w:p>
    <w:p w14:paraId="463F6A1F"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本基金实施</w:t>
      </w:r>
      <w:proofErr w:type="gramStart"/>
      <w:r w:rsidRPr="005F0ABA">
        <w:rPr>
          <w:rFonts w:ascii="宋体" w:hAnsi="宋体" w:cs="Arial" w:hint="eastAsia"/>
          <w:color w:val="000000" w:themeColor="text1"/>
          <w:sz w:val="24"/>
        </w:rPr>
        <w:t>侧袋机制</w:t>
      </w:r>
      <w:proofErr w:type="gramEnd"/>
      <w:r w:rsidRPr="005F0ABA">
        <w:rPr>
          <w:rFonts w:ascii="宋体" w:hAnsi="宋体" w:cs="Arial" w:hint="eastAsia"/>
          <w:color w:val="000000" w:themeColor="text1"/>
          <w:sz w:val="24"/>
        </w:rPr>
        <w:t>的，相关信息披露义务人应当根据法律法规、基金合同和招募说明书的规定进行信息披露，详见招募说明书的规定。</w:t>
      </w:r>
    </w:p>
    <w:p w14:paraId="09D6FE1B" w14:textId="77777777" w:rsidR="003E6A3F" w:rsidRPr="005F0ABA" w:rsidRDefault="003E6A3F">
      <w:pPr>
        <w:pStyle w:val="a0"/>
        <w:spacing w:line="360" w:lineRule="auto"/>
        <w:ind w:firstLineChars="0" w:firstLine="0"/>
        <w:rPr>
          <w:rFonts w:ascii="宋体" w:hAnsi="宋体" w:cs="Arial"/>
          <w:color w:val="000000" w:themeColor="text1"/>
          <w:sz w:val="24"/>
        </w:rPr>
      </w:pPr>
    </w:p>
    <w:p w14:paraId="17DF194B"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91" w:name="_Toc124325895"/>
      <w:r w:rsidRPr="005F0ABA">
        <w:rPr>
          <w:rFonts w:ascii="宋体" w:eastAsia="宋体" w:hAnsi="宋体" w:hint="eastAsia"/>
          <w:color w:val="000000" w:themeColor="text1"/>
          <w:sz w:val="30"/>
        </w:rPr>
        <w:t>十一、基金费用</w:t>
      </w:r>
      <w:bookmarkEnd w:id="91"/>
    </w:p>
    <w:p w14:paraId="64DA10A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（一）基金管理费的计提比例和计提方法</w:t>
      </w:r>
    </w:p>
    <w:p w14:paraId="1CBE0900" w14:textId="6DA03FF9"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lastRenderedPageBreak/>
        <w:t>本基金的管理费按前一日基金资产净值的</w:t>
      </w:r>
      <w:r w:rsidRPr="005F0ABA">
        <w:rPr>
          <w:rFonts w:ascii="宋体" w:hAnsi="宋体" w:cs="Arial"/>
          <w:color w:val="000000" w:themeColor="text1"/>
          <w:sz w:val="24"/>
        </w:rPr>
        <w:t>0.30%年费率计提。管理费的计算方法如下：</w:t>
      </w:r>
    </w:p>
    <w:p w14:paraId="416C042A" w14:textId="55069E8F"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H＝E×0.30%</w:t>
      </w:r>
      <w:r w:rsidRPr="005F0ABA">
        <w:rPr>
          <w:rFonts w:ascii="宋体" w:hAnsi="宋体" w:cs="Arial" w:hint="eastAsia"/>
          <w:color w:val="000000" w:themeColor="text1"/>
          <w:sz w:val="24"/>
        </w:rPr>
        <w:t>÷当年天数</w:t>
      </w:r>
    </w:p>
    <w:p w14:paraId="67E89DD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H为每日应计提的基金管理费</w:t>
      </w:r>
    </w:p>
    <w:p w14:paraId="61FB3D9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E为前一日的基金资产净值</w:t>
      </w:r>
    </w:p>
    <w:p w14:paraId="7E77459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（二）基金托管费的计提比例和计提方法</w:t>
      </w:r>
    </w:p>
    <w:p w14:paraId="40B67DDD" w14:textId="4CBED99A"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本基金的托管费按前一日基金资产净值的</w:t>
      </w:r>
      <w:r w:rsidRPr="005F0ABA">
        <w:rPr>
          <w:rFonts w:ascii="宋体" w:hAnsi="宋体" w:cs="Arial"/>
          <w:color w:val="000000" w:themeColor="text1"/>
          <w:sz w:val="24"/>
        </w:rPr>
        <w:t>0.10%年费率计提。托管费的计算方法如下：</w:t>
      </w:r>
    </w:p>
    <w:p w14:paraId="34075B6E" w14:textId="50AEC09C"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H＝E×0.10%</w:t>
      </w:r>
      <w:r w:rsidRPr="005F0ABA">
        <w:rPr>
          <w:rFonts w:ascii="宋体" w:hAnsi="宋体" w:cs="Arial" w:hint="eastAsia"/>
          <w:color w:val="000000" w:themeColor="text1"/>
          <w:sz w:val="24"/>
        </w:rPr>
        <w:t>÷当年天数</w:t>
      </w:r>
    </w:p>
    <w:p w14:paraId="194B642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H为每日应计提的基金托管费</w:t>
      </w:r>
    </w:p>
    <w:p w14:paraId="7C4CFF4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E为前一日的基金资产净值</w:t>
      </w:r>
    </w:p>
    <w:p w14:paraId="30EB51D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（三）销售服务费的计提比例和计提方法</w:t>
      </w:r>
    </w:p>
    <w:p w14:paraId="27C34AF0" w14:textId="77777777"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本基金不同基金份额适用不同的销售服务费率。其中，A类基金份额不收取销售服务费；C类基金份额销售服务费按前一日C类基金份额的基金资产净值的0.20%年费率计提。计算方法如下：</w:t>
      </w:r>
    </w:p>
    <w:p w14:paraId="0A1E96C8" w14:textId="77777777"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H＝E×0.20%÷当年天数</w:t>
      </w:r>
    </w:p>
    <w:p w14:paraId="528B35F8" w14:textId="77777777"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H为C类基金份额每日应计提的销售服务费</w:t>
      </w:r>
    </w:p>
    <w:p w14:paraId="41A25797" w14:textId="77777777"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E为C类基金份额前一日的基金资产净值</w:t>
      </w:r>
    </w:p>
    <w:p w14:paraId="0C07164C" w14:textId="77777777"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C类基金份额销售服务费每日计提。</w:t>
      </w:r>
    </w:p>
    <w:p w14:paraId="06EF1E4E" w14:textId="77777777"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（1）基金管理人直销渠道：</w:t>
      </w:r>
    </w:p>
    <w:p w14:paraId="1E6A4EC2" w14:textId="77777777"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对于C类基金份额收取的销售服务费，在投资者赎回基金份额或基金合同终止时，随赎回款（或清算款）一并返还给投资者。若遇法定节假日、公休假或不可抗力等，支付日期顺延。</w:t>
      </w:r>
    </w:p>
    <w:p w14:paraId="6F5C39B2" w14:textId="77777777"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基金销售子公司销售母公司所管理基金的，按照本条要求执行。</w:t>
      </w:r>
    </w:p>
    <w:p w14:paraId="401E5DF8" w14:textId="77777777"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（2）代销机构：</w:t>
      </w:r>
    </w:p>
    <w:p w14:paraId="6807DA1E" w14:textId="77777777"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对于投资者持续持有期限未超过一年（即365天，下同）的C类基金份额收取的销售服务费，逐日累计至每月月末，按月支付，自动在月初5</w:t>
      </w:r>
      <w:proofErr w:type="gramStart"/>
      <w:r w:rsidRPr="005F0ABA">
        <w:rPr>
          <w:rFonts w:ascii="宋体" w:hAnsi="宋体" w:cs="Arial" w:hint="eastAsia"/>
          <w:color w:val="000000" w:themeColor="text1"/>
          <w:sz w:val="24"/>
        </w:rPr>
        <w:t>个</w:t>
      </w:r>
      <w:proofErr w:type="gramEnd"/>
      <w:r w:rsidRPr="005F0ABA">
        <w:rPr>
          <w:rFonts w:ascii="宋体" w:hAnsi="宋体" w:cs="Arial" w:hint="eastAsia"/>
          <w:color w:val="000000" w:themeColor="text1"/>
          <w:sz w:val="24"/>
        </w:rPr>
        <w:t>工作日内按照指定的账户路径进行资金支付，基金管理人无需再出具资金划拨指令。若遇法定节假日、公休假或不可抗力等，支付日期顺延。费用自动扣划后，基金管理人应进行核对，如发现数据不符，及时联系基金托管人协商解决。</w:t>
      </w:r>
    </w:p>
    <w:p w14:paraId="35090EEF" w14:textId="1047A7BD" w:rsidR="006B34D9" w:rsidRPr="005F0ABA" w:rsidRDefault="006B34D9" w:rsidP="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lastRenderedPageBreak/>
        <w:t>对于持续持有期限超过一年的基金份额继续收取的销售服务费，在投资者赎回基金份额或基金合同终止时，随赎回款（或清算款）一并返还给投资者。</w:t>
      </w:r>
    </w:p>
    <w:p w14:paraId="7900C3B1" w14:textId="49FDD094" w:rsidR="006B34D9" w:rsidRPr="005F0ABA" w:rsidRDefault="006B34D9">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因涉及相关数据，应付销售服务费的计算和复核工作由基金管理人完成，相关信息以注册登记机构计算结果为准，基金托管人不承担复核责任。</w:t>
      </w:r>
    </w:p>
    <w:p w14:paraId="492DA0EA" w14:textId="193A9F5F"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677F42" w:rsidRPr="005F0ABA">
        <w:rPr>
          <w:rFonts w:ascii="宋体" w:hAnsi="宋体" w:cs="Arial" w:hint="eastAsia"/>
          <w:color w:val="000000" w:themeColor="text1"/>
          <w:sz w:val="24"/>
        </w:rPr>
        <w:t>四</w:t>
      </w:r>
      <w:r w:rsidRPr="005F0ABA">
        <w:rPr>
          <w:rFonts w:ascii="宋体" w:hAnsi="宋体" w:cs="Arial" w:hint="eastAsia"/>
          <w:color w:val="000000" w:themeColor="text1"/>
          <w:sz w:val="24"/>
        </w:rPr>
        <w:t>）账户开户费用、基金的证券、信用衍生品、期货交易费用或结算而产生的费用、基金的银行汇划费用、账户维护费、《基金合同》生效后与基金相关的信息披露费用（除法律法规、中国证监会另有规定外）、基金份额持有人大会费用、《基金合同》生效后与基金有关的会计师费、律师费、公证费、审计费、仲裁费和诉讼费等根据有关法律法规、《基金合同》及相应协议的规定，列入当期基金费用。</w:t>
      </w:r>
    </w:p>
    <w:p w14:paraId="76830D2B" w14:textId="20F925E9"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677F42" w:rsidRPr="005F0ABA">
        <w:rPr>
          <w:rFonts w:ascii="宋体" w:hAnsi="宋体" w:cs="Arial" w:hint="eastAsia"/>
          <w:color w:val="000000" w:themeColor="text1"/>
          <w:sz w:val="24"/>
        </w:rPr>
        <w:t>五</w:t>
      </w:r>
      <w:r w:rsidRPr="005F0ABA">
        <w:rPr>
          <w:rFonts w:ascii="宋体" w:hAnsi="宋体" w:cs="Arial" w:hint="eastAsia"/>
          <w:color w:val="000000" w:themeColor="text1"/>
          <w:sz w:val="24"/>
        </w:rPr>
        <w:t>）不列入基金费用的项目</w:t>
      </w:r>
    </w:p>
    <w:p w14:paraId="1C9D147F"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合同》生效前的律师费、会计师费和信息披露费用等相关费用不得从基金财产中列支；基金管理人和基金托管人因未履行或未完全履行义务导致的费用支出或基金财产的损失，处理与基金运作无关的事项发生的费用以及其他根据相关法律法规及中国证监会的有关规定不得列入基金费用的项目等不列入基金费用。</w:t>
      </w:r>
    </w:p>
    <w:p w14:paraId="512818F0" w14:textId="11302DFE"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677F42" w:rsidRPr="005F0ABA">
        <w:rPr>
          <w:rFonts w:ascii="宋体" w:hAnsi="宋体" w:cs="Arial" w:hint="eastAsia"/>
          <w:color w:val="000000" w:themeColor="text1"/>
          <w:sz w:val="24"/>
        </w:rPr>
        <w:t>六</w:t>
      </w:r>
      <w:r w:rsidRPr="005F0ABA">
        <w:rPr>
          <w:rFonts w:ascii="宋体" w:hAnsi="宋体" w:cs="Arial" w:hint="eastAsia"/>
          <w:color w:val="000000" w:themeColor="text1"/>
          <w:sz w:val="24"/>
        </w:rPr>
        <w:t>）基金管理费和基金托管费的调整</w:t>
      </w:r>
    </w:p>
    <w:p w14:paraId="0A51900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基金管理人和基金托管人可协商酌情降低基金管理费和基金托管费，参照《基金合同》约定执行。基金管理人</w:t>
      </w:r>
      <w:r w:rsidRPr="005F0ABA">
        <w:rPr>
          <w:rFonts w:ascii="宋体" w:hAnsi="宋体" w:hint="eastAsia"/>
          <w:bCs/>
          <w:color w:val="000000" w:themeColor="text1"/>
          <w:sz w:val="24"/>
        </w:rPr>
        <w:t>应当依照《信息披露办法》的有关规定编制临时报告书，并登载在规定报刊和规定网站上</w:t>
      </w:r>
      <w:r w:rsidRPr="005F0ABA">
        <w:rPr>
          <w:rFonts w:ascii="宋体" w:hAnsi="宋体" w:cs="Arial" w:hint="eastAsia"/>
          <w:color w:val="000000" w:themeColor="text1"/>
          <w:sz w:val="24"/>
        </w:rPr>
        <w:t>。</w:t>
      </w:r>
    </w:p>
    <w:p w14:paraId="760DF72F" w14:textId="006134A8"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677F42" w:rsidRPr="005F0ABA">
        <w:rPr>
          <w:rFonts w:ascii="宋体" w:hAnsi="宋体" w:cs="Arial" w:hint="eastAsia"/>
          <w:color w:val="000000" w:themeColor="text1"/>
          <w:sz w:val="24"/>
        </w:rPr>
        <w:t>七</w:t>
      </w:r>
      <w:r w:rsidRPr="005F0ABA">
        <w:rPr>
          <w:rFonts w:ascii="宋体" w:hAnsi="宋体" w:cs="Arial" w:hint="eastAsia"/>
          <w:color w:val="000000" w:themeColor="text1"/>
          <w:sz w:val="24"/>
        </w:rPr>
        <w:t>）基金管理费、基金托管费和基金销售服务费的复核程序、支付方式和时间</w:t>
      </w:r>
    </w:p>
    <w:p w14:paraId="10D0C63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1.复核程序</w:t>
      </w:r>
    </w:p>
    <w:p w14:paraId="345083BF" w14:textId="6FC00C9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基金托管人对基金管理人计提的基金管理费、基金托管费等，根据本托管协议和《基金合同》的有关规定进行复核。</w:t>
      </w:r>
    </w:p>
    <w:p w14:paraId="0FDAFB7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2.支付方式和时间</w:t>
      </w:r>
    </w:p>
    <w:p w14:paraId="5EEE1690" w14:textId="35AFE4B5"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基金管理费、基金托管费每日计提，逐日累计至每月月末，按月支付。由基金托管人根据与基金管理人核对一致的财务数据，自动在月初</w:t>
      </w:r>
      <w:r w:rsidRPr="005F0ABA">
        <w:rPr>
          <w:rFonts w:ascii="宋体" w:hAnsi="宋体" w:cs="Arial"/>
          <w:color w:val="000000" w:themeColor="text1"/>
          <w:sz w:val="24"/>
        </w:rPr>
        <w:t>5</w:t>
      </w:r>
      <w:proofErr w:type="gramStart"/>
      <w:r w:rsidRPr="005F0ABA">
        <w:rPr>
          <w:rFonts w:ascii="宋体" w:hAnsi="宋体" w:cs="Arial"/>
          <w:color w:val="000000" w:themeColor="text1"/>
          <w:sz w:val="24"/>
        </w:rPr>
        <w:t>个</w:t>
      </w:r>
      <w:proofErr w:type="gramEnd"/>
      <w:r w:rsidRPr="005F0ABA">
        <w:rPr>
          <w:rFonts w:ascii="宋体" w:hAnsi="宋体" w:cs="Arial"/>
          <w:color w:val="000000" w:themeColor="text1"/>
          <w:sz w:val="24"/>
        </w:rPr>
        <w:t>工作日内按照指定的账户路径进行资金支付，基金管理人无需再出具资金划拨指令。若遇法定节假日、</w:t>
      </w:r>
      <w:r w:rsidRPr="005F0ABA">
        <w:rPr>
          <w:rFonts w:ascii="宋体" w:hAnsi="宋体" w:cs="Arial" w:hint="eastAsia"/>
          <w:color w:val="000000" w:themeColor="text1"/>
          <w:sz w:val="24"/>
        </w:rPr>
        <w:t>公休假或不可抗力等，支付日期顺延。费用自动扣划后，基金管理人应进行核对，如发现数据不符，及时联系基金托管人协商解决。</w:t>
      </w:r>
    </w:p>
    <w:p w14:paraId="6EE488B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在首期支付基金管理费、基金销售服务费前，基金管理人应向基金托管人出具</w:t>
      </w:r>
      <w:r w:rsidRPr="005F0ABA">
        <w:rPr>
          <w:rFonts w:ascii="宋体" w:hAnsi="宋体" w:cs="Arial" w:hint="eastAsia"/>
          <w:color w:val="000000" w:themeColor="text1"/>
          <w:sz w:val="24"/>
        </w:rPr>
        <w:lastRenderedPageBreak/>
        <w:t>正式函件指定基金管理费、基金销售服务费的收款账户。基金管理人如需要</w:t>
      </w:r>
      <w:proofErr w:type="gramStart"/>
      <w:r w:rsidRPr="005F0ABA">
        <w:rPr>
          <w:rFonts w:ascii="宋体" w:hAnsi="宋体" w:cs="Arial" w:hint="eastAsia"/>
          <w:color w:val="000000" w:themeColor="text1"/>
          <w:sz w:val="24"/>
        </w:rPr>
        <w:t>变更此</w:t>
      </w:r>
      <w:proofErr w:type="gramEnd"/>
      <w:r w:rsidRPr="005F0ABA">
        <w:rPr>
          <w:rFonts w:ascii="宋体" w:hAnsi="宋体" w:cs="Arial" w:hint="eastAsia"/>
          <w:color w:val="000000" w:themeColor="text1"/>
          <w:sz w:val="24"/>
        </w:rPr>
        <w:t>账户，应提前</w:t>
      </w:r>
      <w:r w:rsidRPr="005F0ABA">
        <w:rPr>
          <w:rFonts w:ascii="宋体" w:hAnsi="宋体" w:cs="Arial"/>
          <w:color w:val="000000" w:themeColor="text1"/>
          <w:sz w:val="24"/>
        </w:rPr>
        <w:t>5个工作日向</w:t>
      </w:r>
      <w:r w:rsidRPr="005F0ABA">
        <w:rPr>
          <w:rFonts w:ascii="宋体" w:hAnsi="宋体" w:cs="Arial" w:hint="eastAsia"/>
          <w:color w:val="000000" w:themeColor="text1"/>
          <w:sz w:val="24"/>
        </w:rPr>
        <w:t>基金托管人出具书面的收款账户变更通知。</w:t>
      </w:r>
    </w:p>
    <w:p w14:paraId="505D1491" w14:textId="2C2DBA2B"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677F42" w:rsidRPr="005F0ABA">
        <w:rPr>
          <w:rFonts w:ascii="宋体" w:hAnsi="宋体" w:cs="Arial" w:hint="eastAsia"/>
          <w:color w:val="000000" w:themeColor="text1"/>
          <w:sz w:val="24"/>
        </w:rPr>
        <w:t>八</w:t>
      </w:r>
      <w:r w:rsidRPr="005F0ABA">
        <w:rPr>
          <w:rFonts w:ascii="宋体" w:hAnsi="宋体" w:cs="Arial" w:hint="eastAsia"/>
          <w:color w:val="000000" w:themeColor="text1"/>
          <w:sz w:val="24"/>
        </w:rPr>
        <w:t>）实施</w:t>
      </w:r>
      <w:proofErr w:type="gramStart"/>
      <w:r w:rsidRPr="005F0ABA">
        <w:rPr>
          <w:rFonts w:ascii="宋体" w:hAnsi="宋体" w:cs="Arial" w:hint="eastAsia"/>
          <w:color w:val="000000" w:themeColor="text1"/>
          <w:sz w:val="24"/>
        </w:rPr>
        <w:t>侧袋机制</w:t>
      </w:r>
      <w:proofErr w:type="gramEnd"/>
      <w:r w:rsidRPr="005F0ABA">
        <w:rPr>
          <w:rFonts w:ascii="宋体" w:hAnsi="宋体" w:cs="Arial" w:hint="eastAsia"/>
          <w:color w:val="000000" w:themeColor="text1"/>
          <w:sz w:val="24"/>
        </w:rPr>
        <w:t>期间的基金费用</w:t>
      </w:r>
    </w:p>
    <w:p w14:paraId="1DEADAEA"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本基金实施</w:t>
      </w:r>
      <w:proofErr w:type="gramStart"/>
      <w:r w:rsidRPr="005F0ABA">
        <w:rPr>
          <w:rFonts w:ascii="宋体" w:hAnsi="宋体" w:cs="Arial" w:hint="eastAsia"/>
          <w:color w:val="000000" w:themeColor="text1"/>
          <w:sz w:val="24"/>
        </w:rPr>
        <w:t>侧袋机制</w:t>
      </w:r>
      <w:proofErr w:type="gramEnd"/>
      <w:r w:rsidRPr="005F0ABA">
        <w:rPr>
          <w:rFonts w:ascii="宋体" w:hAnsi="宋体" w:cs="Arial" w:hint="eastAsia"/>
          <w:color w:val="000000" w:themeColor="text1"/>
          <w:sz w:val="24"/>
        </w:rPr>
        <w:t>的，</w:t>
      </w:r>
      <w:proofErr w:type="gramStart"/>
      <w:r w:rsidRPr="005F0ABA">
        <w:rPr>
          <w:rFonts w:ascii="宋体" w:hAnsi="宋体" w:cs="Arial" w:hint="eastAsia"/>
          <w:color w:val="000000" w:themeColor="text1"/>
          <w:sz w:val="24"/>
        </w:rPr>
        <w:t>与侧袋账户</w:t>
      </w:r>
      <w:proofErr w:type="gramEnd"/>
      <w:r w:rsidRPr="005F0ABA">
        <w:rPr>
          <w:rFonts w:ascii="宋体" w:hAnsi="宋体" w:cs="Arial" w:hint="eastAsia"/>
          <w:color w:val="000000" w:themeColor="text1"/>
          <w:sz w:val="24"/>
        </w:rPr>
        <w:t>有关的费用可以</w:t>
      </w:r>
      <w:proofErr w:type="gramStart"/>
      <w:r w:rsidRPr="005F0ABA">
        <w:rPr>
          <w:rFonts w:ascii="宋体" w:hAnsi="宋体" w:cs="Arial" w:hint="eastAsia"/>
          <w:color w:val="000000" w:themeColor="text1"/>
          <w:sz w:val="24"/>
        </w:rPr>
        <w:t>从侧袋账户</w:t>
      </w:r>
      <w:proofErr w:type="gramEnd"/>
      <w:r w:rsidRPr="005F0ABA">
        <w:rPr>
          <w:rFonts w:ascii="宋体" w:hAnsi="宋体" w:cs="Arial" w:hint="eastAsia"/>
          <w:color w:val="000000" w:themeColor="text1"/>
          <w:sz w:val="24"/>
        </w:rPr>
        <w:t>中列支，但应</w:t>
      </w:r>
      <w:proofErr w:type="gramStart"/>
      <w:r w:rsidRPr="005F0ABA">
        <w:rPr>
          <w:rFonts w:ascii="宋体" w:hAnsi="宋体" w:cs="Arial" w:hint="eastAsia"/>
          <w:color w:val="000000" w:themeColor="text1"/>
          <w:sz w:val="24"/>
        </w:rPr>
        <w:t>待侧袋</w:t>
      </w:r>
      <w:proofErr w:type="gramEnd"/>
      <w:r w:rsidRPr="005F0ABA">
        <w:rPr>
          <w:rFonts w:ascii="宋体" w:hAnsi="宋体" w:cs="Arial" w:hint="eastAsia"/>
          <w:color w:val="000000" w:themeColor="text1"/>
          <w:sz w:val="24"/>
        </w:rPr>
        <w:t>账户资产变现后方可列支，有关费用可酌情收取或减免，但不得收取管理费，详见招募说明书或相关公告的规定。</w:t>
      </w:r>
    </w:p>
    <w:p w14:paraId="55DD0D7C" w14:textId="714BD2BF"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w:t>
      </w:r>
      <w:r w:rsidR="00677F42" w:rsidRPr="005F0ABA">
        <w:rPr>
          <w:rFonts w:ascii="宋体" w:hAnsi="宋体" w:cs="Arial" w:hint="eastAsia"/>
          <w:color w:val="000000" w:themeColor="text1"/>
          <w:sz w:val="24"/>
        </w:rPr>
        <w:t>九</w:t>
      </w:r>
      <w:r w:rsidRPr="005F0ABA">
        <w:rPr>
          <w:rFonts w:ascii="宋体" w:hAnsi="宋体" w:cs="Arial" w:hint="eastAsia"/>
          <w:color w:val="000000" w:themeColor="text1"/>
          <w:sz w:val="24"/>
        </w:rPr>
        <w:t>）违规处理方式</w:t>
      </w:r>
    </w:p>
    <w:p w14:paraId="1C5B3D0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托管人发现基金管理人违反《基金法》、《基金合同》、《运作办法》及其他有关规定从基金财产中列支费用时，基金托管人可要求基金管理人予以说明解释，如基金管理人无正当理由，基金托管人可拒绝支付</w:t>
      </w:r>
      <w:r w:rsidRPr="005F0ABA">
        <w:rPr>
          <w:rStyle w:val="fontstyle01"/>
          <w:rFonts w:ascii="宋体" w:hAnsi="宋体"/>
          <w:color w:val="000000" w:themeColor="text1"/>
        </w:rPr>
        <w:t>，但应及时通知基金管理人</w:t>
      </w:r>
      <w:r w:rsidRPr="005F0ABA">
        <w:rPr>
          <w:rFonts w:ascii="宋体" w:hAnsi="宋体" w:cs="Arial" w:hint="eastAsia"/>
          <w:color w:val="000000" w:themeColor="text1"/>
          <w:sz w:val="24"/>
        </w:rPr>
        <w:t>。</w:t>
      </w:r>
    </w:p>
    <w:p w14:paraId="10C71A46" w14:textId="77777777" w:rsidR="003E6A3F" w:rsidRPr="005F0ABA" w:rsidRDefault="003E6A3F">
      <w:pPr>
        <w:adjustRightInd w:val="0"/>
        <w:snapToGrid w:val="0"/>
        <w:spacing w:line="360" w:lineRule="auto"/>
        <w:rPr>
          <w:rFonts w:ascii="宋体" w:hAnsi="宋体" w:cs="Arial"/>
          <w:color w:val="000000" w:themeColor="text1"/>
          <w:sz w:val="24"/>
        </w:rPr>
      </w:pPr>
    </w:p>
    <w:p w14:paraId="4147B44A"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92" w:name="_Toc124325896"/>
      <w:r w:rsidRPr="005F0ABA">
        <w:rPr>
          <w:rFonts w:ascii="宋体" w:eastAsia="宋体" w:hAnsi="宋体" w:hint="eastAsia"/>
          <w:color w:val="000000" w:themeColor="text1"/>
          <w:sz w:val="30"/>
        </w:rPr>
        <w:t>十二、基金份额持有人名册的保管</w:t>
      </w:r>
      <w:bookmarkEnd w:id="92"/>
    </w:p>
    <w:p w14:paraId="76DC51F2" w14:textId="37E5C44D"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基金份额持有人名册至少应包括基金份额持有人的名称和持有的基金份额。基金份额持有人名册由基金注册登记机构根据基金管理人的指令编制和保管，基金管理人和基金托管人应分别保管基金份额持有人名册，</w:t>
      </w:r>
      <w:r w:rsidR="00D7768D" w:rsidRPr="005F0ABA">
        <w:rPr>
          <w:rFonts w:ascii="宋体" w:hAnsi="宋体" w:cs="Arial" w:hint="eastAsia"/>
          <w:color w:val="000000" w:themeColor="text1"/>
          <w:sz w:val="24"/>
        </w:rPr>
        <w:t>保存期限按照法律法规的规定执行</w:t>
      </w:r>
      <w:r w:rsidRPr="005F0ABA">
        <w:rPr>
          <w:rFonts w:ascii="宋体" w:hAnsi="宋体" w:cs="Arial" w:hint="eastAsia"/>
          <w:color w:val="000000" w:themeColor="text1"/>
          <w:sz w:val="24"/>
        </w:rPr>
        <w:t>。如不能妥善保管，则按相关法规承担责任。</w:t>
      </w:r>
    </w:p>
    <w:p w14:paraId="7D40B3A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在基金托管人要求或编制中期报告和年度报告前，基金管理人应将有关资料送交基金托管人，不得无故拒绝或延误提供，并保证其真实性、准确性和完整性。</w:t>
      </w:r>
      <w:r w:rsidRPr="005F0ABA">
        <w:rPr>
          <w:rFonts w:ascii="宋体" w:hAnsi="宋体" w:hint="eastAsia"/>
          <w:color w:val="000000" w:themeColor="text1"/>
          <w:kern w:val="0"/>
          <w:sz w:val="24"/>
        </w:rPr>
        <w:t>基金托管人不得将所保管的基金份额持有人名册用于基金托管业务以外的其他用途，并应遵守保密义务。</w:t>
      </w:r>
    </w:p>
    <w:p w14:paraId="36395940" w14:textId="77777777" w:rsidR="003E6A3F" w:rsidRPr="005F0ABA" w:rsidRDefault="003E6A3F">
      <w:pPr>
        <w:adjustRightInd w:val="0"/>
        <w:snapToGrid w:val="0"/>
        <w:spacing w:line="360" w:lineRule="auto"/>
        <w:rPr>
          <w:rFonts w:ascii="宋体" w:hAnsi="宋体" w:cs="Arial"/>
          <w:color w:val="000000" w:themeColor="text1"/>
          <w:sz w:val="24"/>
        </w:rPr>
      </w:pPr>
    </w:p>
    <w:p w14:paraId="5121B3A8"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93" w:name="_Toc124325897"/>
      <w:r w:rsidRPr="005F0ABA">
        <w:rPr>
          <w:rFonts w:ascii="宋体" w:eastAsia="宋体" w:hAnsi="宋体" w:hint="eastAsia"/>
          <w:color w:val="000000" w:themeColor="text1"/>
          <w:sz w:val="30"/>
        </w:rPr>
        <w:t>十三、基金有关文件档案的保存</w:t>
      </w:r>
      <w:bookmarkEnd w:id="93"/>
    </w:p>
    <w:p w14:paraId="14F611D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（一）档案保存</w:t>
      </w:r>
    </w:p>
    <w:p w14:paraId="3F174ED4" w14:textId="04A8A1EE"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基金管理人应保存基金财产管理业务活动的记录、账册、报表和其他相关资料。基金托管人应保存基金托管业务活动的记录、账册、报表和其他相关资料。基金管理人和基金托管人都应当按</w:t>
      </w:r>
      <w:r w:rsidR="003B7A4F" w:rsidRPr="005F0ABA">
        <w:rPr>
          <w:rFonts w:ascii="宋体" w:hAnsi="宋体" w:cs="Arial" w:hint="eastAsia"/>
          <w:color w:val="000000" w:themeColor="text1"/>
          <w:sz w:val="24"/>
        </w:rPr>
        <w:t>法律法规</w:t>
      </w:r>
      <w:r w:rsidRPr="005F0ABA">
        <w:rPr>
          <w:rFonts w:ascii="宋体" w:hAnsi="宋体" w:cs="Arial" w:hint="eastAsia"/>
          <w:color w:val="000000" w:themeColor="text1"/>
          <w:sz w:val="24"/>
        </w:rPr>
        <w:t>规定的期限保管。</w:t>
      </w:r>
    </w:p>
    <w:p w14:paraId="7C38002A"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（二）合同档案的建立</w:t>
      </w:r>
    </w:p>
    <w:p w14:paraId="0B6B53B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1.基金管理人签署重大合同文本后，应及时将合同文本正本送达基金托管人处。</w:t>
      </w:r>
    </w:p>
    <w:p w14:paraId="2F76F16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lastRenderedPageBreak/>
        <w:t>2.基金管理人应及时将与本基金账务处理、资金划拨等有关的合同、协议传真基金托管人。</w:t>
      </w:r>
    </w:p>
    <w:p w14:paraId="01174A5F"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（三）变更与协助</w:t>
      </w:r>
    </w:p>
    <w:p w14:paraId="758CC519" w14:textId="77777777" w:rsidR="003E6A3F" w:rsidRPr="005F0ABA" w:rsidRDefault="006E6B76">
      <w:pPr>
        <w:adjustRightInd w:val="0"/>
        <w:snapToGrid w:val="0"/>
        <w:spacing w:line="360" w:lineRule="auto"/>
        <w:ind w:firstLineChars="200" w:firstLine="480"/>
        <w:rPr>
          <w:rFonts w:ascii="宋体" w:hAnsi="宋体"/>
          <w:b/>
          <w:bCs/>
          <w:color w:val="000000" w:themeColor="text1"/>
          <w:sz w:val="30"/>
          <w:szCs w:val="30"/>
        </w:rPr>
      </w:pPr>
      <w:proofErr w:type="gramStart"/>
      <w:r w:rsidRPr="005F0ABA">
        <w:rPr>
          <w:rFonts w:ascii="宋体" w:hAnsi="宋体" w:cs="Arial" w:hint="eastAsia"/>
          <w:color w:val="000000" w:themeColor="text1"/>
          <w:sz w:val="24"/>
        </w:rPr>
        <w:t>若基金</w:t>
      </w:r>
      <w:proofErr w:type="gramEnd"/>
      <w:r w:rsidRPr="005F0ABA">
        <w:rPr>
          <w:rFonts w:ascii="宋体" w:hAnsi="宋体" w:cs="Arial" w:hint="eastAsia"/>
          <w:color w:val="000000" w:themeColor="text1"/>
          <w:sz w:val="24"/>
        </w:rPr>
        <w:t>管理人</w:t>
      </w:r>
      <w:r w:rsidRPr="005F0ABA">
        <w:rPr>
          <w:rFonts w:ascii="宋体" w:hAnsi="宋体" w:cs="Arial"/>
          <w:color w:val="000000" w:themeColor="text1"/>
          <w:sz w:val="24"/>
        </w:rPr>
        <w:t>/基金托管人发生变更，未变更的一方有义务协助变更后的接任人接收相应文件。</w:t>
      </w:r>
    </w:p>
    <w:p w14:paraId="1DE11BDE" w14:textId="77777777" w:rsidR="003E6A3F" w:rsidRPr="005F0ABA" w:rsidRDefault="003E6A3F">
      <w:pPr>
        <w:adjustRightInd w:val="0"/>
        <w:snapToGrid w:val="0"/>
        <w:spacing w:line="360" w:lineRule="auto"/>
        <w:rPr>
          <w:rFonts w:ascii="宋体" w:hAnsi="宋体"/>
          <w:color w:val="000000" w:themeColor="text1"/>
          <w:sz w:val="30"/>
          <w:szCs w:val="30"/>
        </w:rPr>
      </w:pPr>
    </w:p>
    <w:p w14:paraId="5FF6C6BF"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94" w:name="_Toc124325898"/>
      <w:r w:rsidRPr="005F0ABA">
        <w:rPr>
          <w:rFonts w:ascii="宋体" w:eastAsia="宋体" w:hAnsi="宋体" w:hint="eastAsia"/>
          <w:color w:val="000000" w:themeColor="text1"/>
          <w:sz w:val="30"/>
        </w:rPr>
        <w:t>十四、基金管理人和基金托管人的更换</w:t>
      </w:r>
      <w:bookmarkEnd w:id="94"/>
    </w:p>
    <w:p w14:paraId="193388F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（一）基金管理人职责终止的情形</w:t>
      </w:r>
    </w:p>
    <w:p w14:paraId="6919738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1.基金管理人职责终止的情形</w:t>
      </w:r>
    </w:p>
    <w:p w14:paraId="10728E3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有下列情形之一的，基金管理人职责终止：</w:t>
      </w:r>
    </w:p>
    <w:p w14:paraId="15C68AF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(1)被依法取消基金管理资格；</w:t>
      </w:r>
    </w:p>
    <w:p w14:paraId="7CCE7F1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(2)依法解散、被依法撤销或被依法宣告破产；</w:t>
      </w:r>
    </w:p>
    <w:p w14:paraId="18EEB99A"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(3)被基金份额持有人大会解任；</w:t>
      </w:r>
    </w:p>
    <w:p w14:paraId="1953026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(4)法律法规及中国证监会规定的和《基金合同》约定的其他情形。</w:t>
      </w:r>
    </w:p>
    <w:p w14:paraId="2090829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2.基金管理人的更换程序</w:t>
      </w:r>
    </w:p>
    <w:p w14:paraId="62ED90E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更换基金管理人必须依照如下程序进行：</w:t>
      </w:r>
    </w:p>
    <w:p w14:paraId="4EDD99E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(1)提名：</w:t>
      </w:r>
      <w:proofErr w:type="gramStart"/>
      <w:r w:rsidRPr="005F0ABA">
        <w:rPr>
          <w:rFonts w:ascii="宋体" w:hAnsi="宋体" w:cs="Arial"/>
          <w:color w:val="000000" w:themeColor="text1"/>
          <w:sz w:val="24"/>
        </w:rPr>
        <w:t>新任基金</w:t>
      </w:r>
      <w:proofErr w:type="gramEnd"/>
      <w:r w:rsidRPr="005F0ABA">
        <w:rPr>
          <w:rFonts w:ascii="宋体" w:hAnsi="宋体" w:cs="Arial"/>
          <w:color w:val="000000" w:themeColor="text1"/>
          <w:sz w:val="24"/>
        </w:rPr>
        <w:t>管理人由基金托管人</w:t>
      </w:r>
      <w:r w:rsidRPr="005F0ABA">
        <w:rPr>
          <w:rFonts w:ascii="宋体" w:hAnsi="宋体" w:hint="eastAsia"/>
          <w:color w:val="000000" w:themeColor="text1"/>
          <w:sz w:val="24"/>
        </w:rPr>
        <w:t>或由单独或合计持有</w:t>
      </w:r>
      <w:r w:rsidRPr="005F0ABA">
        <w:rPr>
          <w:rFonts w:ascii="宋体" w:hAnsi="宋体"/>
          <w:color w:val="000000" w:themeColor="text1"/>
          <w:sz w:val="24"/>
        </w:rPr>
        <w:t>10%以上(含10%)基金份额的基金份额持有人</w:t>
      </w:r>
      <w:r w:rsidRPr="005F0ABA">
        <w:rPr>
          <w:rFonts w:ascii="宋体" w:hAnsi="宋体" w:cs="Arial" w:hint="eastAsia"/>
          <w:color w:val="000000" w:themeColor="text1"/>
          <w:sz w:val="24"/>
        </w:rPr>
        <w:t>提名；</w:t>
      </w:r>
    </w:p>
    <w:p w14:paraId="2667246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(2)决议：基金份额持有人大会在基金管理人职责终止后6个月内对被提名的基金管理人形成决议，该决议需经参加大会的基金份额持有人所持表决权的三分之二以上(含三分之二)表决通过</w:t>
      </w:r>
      <w:r w:rsidRPr="005F0ABA">
        <w:rPr>
          <w:rFonts w:ascii="宋体" w:hAnsi="宋体" w:cs="Arial" w:hint="eastAsia"/>
          <w:color w:val="000000" w:themeColor="text1"/>
          <w:sz w:val="24"/>
        </w:rPr>
        <w:t>，决议自表决通过之日起生效；</w:t>
      </w:r>
    </w:p>
    <w:p w14:paraId="5DEBDD8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(3)临时基金管理人：</w:t>
      </w:r>
      <w:proofErr w:type="gramStart"/>
      <w:r w:rsidRPr="005F0ABA">
        <w:rPr>
          <w:rFonts w:ascii="宋体" w:hAnsi="宋体" w:cs="Arial"/>
          <w:color w:val="000000" w:themeColor="text1"/>
          <w:sz w:val="24"/>
        </w:rPr>
        <w:t>新任基金</w:t>
      </w:r>
      <w:proofErr w:type="gramEnd"/>
      <w:r w:rsidRPr="005F0ABA">
        <w:rPr>
          <w:rFonts w:ascii="宋体" w:hAnsi="宋体" w:cs="Arial"/>
          <w:color w:val="000000" w:themeColor="text1"/>
          <w:sz w:val="24"/>
        </w:rPr>
        <w:t>管理人产生之前，由中国证监会指定临时基金管理人；</w:t>
      </w:r>
    </w:p>
    <w:p w14:paraId="3C9D7B2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(4)备案：基金份额持有人大会</w:t>
      </w:r>
      <w:r w:rsidRPr="005F0ABA">
        <w:rPr>
          <w:rFonts w:ascii="宋体" w:hAnsi="宋体" w:cs="Arial" w:hint="eastAsia"/>
          <w:color w:val="000000" w:themeColor="text1"/>
          <w:sz w:val="24"/>
        </w:rPr>
        <w:t>更换基金管理人的决议须报中国证监会备案；</w:t>
      </w:r>
    </w:p>
    <w:p w14:paraId="008A401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(5)公告：基金管理人更换后，由基金托管人在更换基金管理人的基金份额持有人大会决议生效后</w:t>
      </w:r>
      <w:r w:rsidRPr="005F0ABA">
        <w:rPr>
          <w:rFonts w:ascii="宋体" w:hAnsi="宋体" w:cs="Arial" w:hint="eastAsia"/>
          <w:color w:val="000000" w:themeColor="text1"/>
          <w:sz w:val="24"/>
        </w:rPr>
        <w:t>依照《信息披露办法》的有关规定在规定媒介公告；</w:t>
      </w:r>
    </w:p>
    <w:p w14:paraId="52CA742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(6)交接：基金管理人职责终止的，基金管理人应妥善保管基金管理业务资料，及时向临时基金管理人或</w:t>
      </w:r>
      <w:proofErr w:type="gramStart"/>
      <w:r w:rsidRPr="005F0ABA">
        <w:rPr>
          <w:rFonts w:ascii="宋体" w:hAnsi="宋体" w:cs="Arial"/>
          <w:color w:val="000000" w:themeColor="text1"/>
          <w:sz w:val="24"/>
        </w:rPr>
        <w:t>新任基金</w:t>
      </w:r>
      <w:proofErr w:type="gramEnd"/>
      <w:r w:rsidRPr="005F0ABA">
        <w:rPr>
          <w:rFonts w:ascii="宋体" w:hAnsi="宋体" w:cs="Arial"/>
          <w:color w:val="000000" w:themeColor="text1"/>
          <w:sz w:val="24"/>
        </w:rPr>
        <w:t>管理人办理基金管理业务的移交手续，临时基金管理人或</w:t>
      </w:r>
      <w:proofErr w:type="gramStart"/>
      <w:r w:rsidRPr="005F0ABA">
        <w:rPr>
          <w:rFonts w:ascii="宋体" w:hAnsi="宋体" w:cs="Arial"/>
          <w:color w:val="000000" w:themeColor="text1"/>
          <w:sz w:val="24"/>
        </w:rPr>
        <w:t>新任基金</w:t>
      </w:r>
      <w:proofErr w:type="gramEnd"/>
      <w:r w:rsidRPr="005F0ABA">
        <w:rPr>
          <w:rFonts w:ascii="宋体" w:hAnsi="宋体" w:cs="Arial"/>
          <w:color w:val="000000" w:themeColor="text1"/>
          <w:sz w:val="24"/>
        </w:rPr>
        <w:t>管理人应及时接收。临时基金管理人或</w:t>
      </w:r>
      <w:proofErr w:type="gramStart"/>
      <w:r w:rsidRPr="005F0ABA">
        <w:rPr>
          <w:rFonts w:ascii="宋体" w:hAnsi="宋体" w:cs="Arial"/>
          <w:color w:val="000000" w:themeColor="text1"/>
          <w:sz w:val="24"/>
        </w:rPr>
        <w:t>新任基金</w:t>
      </w:r>
      <w:proofErr w:type="gramEnd"/>
      <w:r w:rsidRPr="005F0ABA">
        <w:rPr>
          <w:rFonts w:ascii="宋体" w:hAnsi="宋体" w:cs="Arial"/>
          <w:color w:val="000000" w:themeColor="text1"/>
          <w:sz w:val="24"/>
        </w:rPr>
        <w:t>管理人应与</w:t>
      </w:r>
      <w:r w:rsidRPr="005F0ABA">
        <w:rPr>
          <w:rFonts w:ascii="宋体" w:hAnsi="宋体" w:cs="Arial"/>
          <w:color w:val="000000" w:themeColor="text1"/>
          <w:sz w:val="24"/>
        </w:rPr>
        <w:lastRenderedPageBreak/>
        <w:t>基金托管人核对基金资产总值</w:t>
      </w:r>
      <w:r w:rsidRPr="005F0ABA">
        <w:rPr>
          <w:rFonts w:ascii="宋体" w:hAnsi="宋体" w:cs="Arial" w:hint="eastAsia"/>
          <w:color w:val="000000" w:themeColor="text1"/>
          <w:sz w:val="24"/>
        </w:rPr>
        <w:t>和基金资产净值；</w:t>
      </w:r>
    </w:p>
    <w:p w14:paraId="3BD79B7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(7)审计：基金管理人职责终止的，应当按照法律法规规定聘请会计师事务所对基金财产进行审计，并将审计结果予以公告，同时报中国证监会备案</w:t>
      </w:r>
      <w:r w:rsidRPr="005F0ABA">
        <w:rPr>
          <w:rFonts w:ascii="宋体" w:hAnsi="宋体" w:cs="Arial" w:hint="eastAsia"/>
          <w:color w:val="000000" w:themeColor="text1"/>
          <w:sz w:val="24"/>
        </w:rPr>
        <w:t>，审计费用在基金财产中列支；</w:t>
      </w:r>
    </w:p>
    <w:p w14:paraId="59733316" w14:textId="77777777" w:rsidR="003E6A3F" w:rsidRPr="005F0ABA" w:rsidRDefault="006E6B76">
      <w:pPr>
        <w:adjustRightInd w:val="0"/>
        <w:snapToGrid w:val="0"/>
        <w:spacing w:line="360" w:lineRule="auto"/>
        <w:ind w:firstLineChars="200" w:firstLine="480"/>
        <w:rPr>
          <w:rFonts w:ascii="宋体" w:hAnsi="宋体"/>
          <w:color w:val="000000" w:themeColor="text1"/>
          <w:sz w:val="30"/>
          <w:szCs w:val="30"/>
        </w:rPr>
      </w:pPr>
      <w:r w:rsidRPr="005F0ABA">
        <w:rPr>
          <w:rFonts w:ascii="宋体" w:hAnsi="宋体" w:cs="Arial"/>
          <w:color w:val="000000" w:themeColor="text1"/>
          <w:sz w:val="24"/>
        </w:rPr>
        <w:t>(8)基金名称变更：基金管理人更换后，如果原任或</w:t>
      </w:r>
      <w:proofErr w:type="gramStart"/>
      <w:r w:rsidRPr="005F0ABA">
        <w:rPr>
          <w:rFonts w:ascii="宋体" w:hAnsi="宋体" w:cs="Arial"/>
          <w:color w:val="000000" w:themeColor="text1"/>
          <w:sz w:val="24"/>
        </w:rPr>
        <w:t>新任基金</w:t>
      </w:r>
      <w:proofErr w:type="gramEnd"/>
      <w:r w:rsidRPr="005F0ABA">
        <w:rPr>
          <w:rFonts w:ascii="宋体" w:hAnsi="宋体" w:cs="Arial"/>
          <w:color w:val="000000" w:themeColor="text1"/>
          <w:sz w:val="24"/>
        </w:rPr>
        <w:t>管理人要求，应按其要求替换或删除基金名称中与</w:t>
      </w:r>
      <w:proofErr w:type="gramStart"/>
      <w:r w:rsidRPr="005F0ABA">
        <w:rPr>
          <w:rFonts w:ascii="宋体" w:hAnsi="宋体" w:cs="Arial"/>
          <w:color w:val="000000" w:themeColor="text1"/>
          <w:sz w:val="24"/>
        </w:rPr>
        <w:t>原基金</w:t>
      </w:r>
      <w:proofErr w:type="gramEnd"/>
      <w:r w:rsidRPr="005F0ABA">
        <w:rPr>
          <w:rFonts w:ascii="宋体" w:hAnsi="宋体" w:cs="Arial"/>
          <w:color w:val="000000" w:themeColor="text1"/>
          <w:sz w:val="24"/>
        </w:rPr>
        <w:t>管理人有关的名称字样。</w:t>
      </w:r>
    </w:p>
    <w:p w14:paraId="337BC88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（二）基金托管人职责终止的情形</w:t>
      </w:r>
    </w:p>
    <w:p w14:paraId="2EC9C93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1.基金托管人职责终止的情形</w:t>
      </w:r>
    </w:p>
    <w:p w14:paraId="0E388CA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有下列情形之一的，基金托管人职责终止：</w:t>
      </w:r>
    </w:p>
    <w:p w14:paraId="2A78EEC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(1)被依法取消基金托管资格；</w:t>
      </w:r>
    </w:p>
    <w:p w14:paraId="7C6D621E"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(2)依法解散、被依法撤销或被依法宣告破产；</w:t>
      </w:r>
    </w:p>
    <w:p w14:paraId="0B5A159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(3)被基金份额持有人大会解任；</w:t>
      </w:r>
    </w:p>
    <w:p w14:paraId="19FAB233"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(4)法律法规及中国证监会规定的和《基金合同》约定的其他情形。</w:t>
      </w:r>
    </w:p>
    <w:p w14:paraId="4193036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2.基金托管人的更换程序</w:t>
      </w:r>
    </w:p>
    <w:p w14:paraId="3FF74F9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(1)提名：</w:t>
      </w:r>
      <w:proofErr w:type="gramStart"/>
      <w:r w:rsidRPr="005F0ABA">
        <w:rPr>
          <w:rFonts w:ascii="宋体" w:hAnsi="宋体" w:cs="Arial"/>
          <w:color w:val="000000" w:themeColor="text1"/>
          <w:sz w:val="24"/>
        </w:rPr>
        <w:t>新任基金</w:t>
      </w:r>
      <w:proofErr w:type="gramEnd"/>
      <w:r w:rsidRPr="005F0ABA">
        <w:rPr>
          <w:rFonts w:ascii="宋体" w:hAnsi="宋体" w:cs="Arial"/>
          <w:color w:val="000000" w:themeColor="text1"/>
          <w:sz w:val="24"/>
        </w:rPr>
        <w:t>托管人由基金管理人</w:t>
      </w:r>
      <w:r w:rsidRPr="005F0ABA">
        <w:rPr>
          <w:rFonts w:ascii="宋体" w:hAnsi="宋体" w:hint="eastAsia"/>
          <w:color w:val="000000" w:themeColor="text1"/>
          <w:sz w:val="24"/>
        </w:rPr>
        <w:t>或由单独或合计持有</w:t>
      </w:r>
      <w:r w:rsidRPr="005F0ABA">
        <w:rPr>
          <w:rFonts w:ascii="宋体" w:hAnsi="宋体"/>
          <w:color w:val="000000" w:themeColor="text1"/>
          <w:sz w:val="24"/>
        </w:rPr>
        <w:t>10%以上(含10%)基金份额的基金份额持有人</w:t>
      </w:r>
      <w:r w:rsidRPr="005F0ABA">
        <w:rPr>
          <w:rFonts w:ascii="宋体" w:hAnsi="宋体" w:cs="Arial" w:hint="eastAsia"/>
          <w:color w:val="000000" w:themeColor="text1"/>
          <w:sz w:val="24"/>
        </w:rPr>
        <w:t>提名；</w:t>
      </w:r>
    </w:p>
    <w:p w14:paraId="0DB4B89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(2)决议：基金份额持有人大会在基金托管人职责终止后6个月内对被提名的基金托管人形成决议，该决议需经参加大会的基金份额持有人所持表决权的三分之二以上(含三分之二)表决通过</w:t>
      </w:r>
      <w:r w:rsidRPr="005F0ABA">
        <w:rPr>
          <w:rFonts w:ascii="宋体" w:hAnsi="宋体" w:cs="Arial" w:hint="eastAsia"/>
          <w:color w:val="000000" w:themeColor="text1"/>
          <w:sz w:val="24"/>
        </w:rPr>
        <w:t>，决议自表决通过之日起生效；</w:t>
      </w:r>
    </w:p>
    <w:p w14:paraId="691A017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(3)临时基金托管人：</w:t>
      </w:r>
      <w:proofErr w:type="gramStart"/>
      <w:r w:rsidRPr="005F0ABA">
        <w:rPr>
          <w:rFonts w:ascii="宋体" w:hAnsi="宋体" w:cs="Arial"/>
          <w:color w:val="000000" w:themeColor="text1"/>
          <w:sz w:val="24"/>
        </w:rPr>
        <w:t>新任基金</w:t>
      </w:r>
      <w:proofErr w:type="gramEnd"/>
      <w:r w:rsidRPr="005F0ABA">
        <w:rPr>
          <w:rFonts w:ascii="宋体" w:hAnsi="宋体" w:cs="Arial"/>
          <w:color w:val="000000" w:themeColor="text1"/>
          <w:sz w:val="24"/>
        </w:rPr>
        <w:t>托管人产生之前，由中国证监会指定临时基金托管人；</w:t>
      </w:r>
    </w:p>
    <w:p w14:paraId="25B7548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(4)备案：基金份额持有人大会更换基金托管人的决议须报中国证监会备案；</w:t>
      </w:r>
    </w:p>
    <w:p w14:paraId="0532832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(5)公告：基金托管人更换后，由基金管理人在更换基金托管人的基金份额持有人大会决议生效后</w:t>
      </w:r>
      <w:r w:rsidRPr="005F0ABA">
        <w:rPr>
          <w:rFonts w:ascii="宋体" w:hAnsi="宋体" w:cs="Arial" w:hint="eastAsia"/>
          <w:color w:val="000000" w:themeColor="text1"/>
          <w:sz w:val="24"/>
        </w:rPr>
        <w:t>依照《信息披露办法》的有关规定在规定媒介公告；</w:t>
      </w:r>
    </w:p>
    <w:p w14:paraId="7DDE4D4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(6)交接：基金托管人职责终止的，应当妥善保管基金财产和基金托管业务资料，及时办理基金财产和基金托管业务的移交手续，</w:t>
      </w:r>
      <w:proofErr w:type="gramStart"/>
      <w:r w:rsidRPr="005F0ABA">
        <w:rPr>
          <w:rFonts w:ascii="宋体" w:hAnsi="宋体" w:cs="Arial"/>
          <w:color w:val="000000" w:themeColor="text1"/>
          <w:sz w:val="24"/>
        </w:rPr>
        <w:t>新任基金</w:t>
      </w:r>
      <w:proofErr w:type="gramEnd"/>
      <w:r w:rsidRPr="005F0ABA">
        <w:rPr>
          <w:rFonts w:ascii="宋体" w:hAnsi="宋体" w:cs="Arial"/>
          <w:color w:val="000000" w:themeColor="text1"/>
          <w:sz w:val="24"/>
        </w:rPr>
        <w:t>托管人或者临时基金托管人应当及时接收。</w:t>
      </w:r>
      <w:proofErr w:type="gramStart"/>
      <w:r w:rsidRPr="005F0ABA">
        <w:rPr>
          <w:rFonts w:ascii="宋体" w:hAnsi="宋体" w:cs="Arial"/>
          <w:color w:val="000000" w:themeColor="text1"/>
          <w:sz w:val="24"/>
        </w:rPr>
        <w:t>新任基金</w:t>
      </w:r>
      <w:proofErr w:type="gramEnd"/>
      <w:r w:rsidRPr="005F0ABA">
        <w:rPr>
          <w:rFonts w:ascii="宋体" w:hAnsi="宋体" w:cs="Arial"/>
          <w:color w:val="000000" w:themeColor="text1"/>
          <w:sz w:val="24"/>
        </w:rPr>
        <w:t>托管人或临时基金托管人</w:t>
      </w:r>
      <w:r w:rsidRPr="005F0ABA">
        <w:rPr>
          <w:rFonts w:ascii="宋体" w:hAnsi="宋体" w:hint="eastAsia"/>
          <w:bCs/>
          <w:color w:val="000000" w:themeColor="text1"/>
          <w:sz w:val="24"/>
        </w:rPr>
        <w:t>应</w:t>
      </w:r>
      <w:r w:rsidRPr="005F0ABA">
        <w:rPr>
          <w:rFonts w:ascii="宋体" w:hAnsi="宋体" w:cs="Arial"/>
          <w:color w:val="000000" w:themeColor="text1"/>
          <w:sz w:val="24"/>
        </w:rPr>
        <w:t>与基金管理人核对基金资产总值</w:t>
      </w:r>
      <w:r w:rsidRPr="005F0ABA">
        <w:rPr>
          <w:rFonts w:ascii="宋体" w:hAnsi="宋体" w:cs="Arial" w:hint="eastAsia"/>
          <w:color w:val="000000" w:themeColor="text1"/>
          <w:sz w:val="24"/>
        </w:rPr>
        <w:t>和基金资产净值；</w:t>
      </w:r>
    </w:p>
    <w:p w14:paraId="54477C0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(7)审计：基金托管人职责终止的，应当按照法律法规规定聘请会计师事务所对基金财产进行审计，并将审计结果予以公告，同时报中国证监会备案</w:t>
      </w:r>
      <w:r w:rsidRPr="005F0ABA">
        <w:rPr>
          <w:rFonts w:ascii="宋体" w:hAnsi="宋体" w:cs="Arial" w:hint="eastAsia"/>
          <w:color w:val="000000" w:themeColor="text1"/>
          <w:sz w:val="24"/>
        </w:rPr>
        <w:t>，审计费用</w:t>
      </w:r>
      <w:r w:rsidRPr="005F0ABA">
        <w:rPr>
          <w:rFonts w:ascii="宋体" w:hAnsi="宋体" w:cs="Arial" w:hint="eastAsia"/>
          <w:color w:val="000000" w:themeColor="text1"/>
          <w:sz w:val="24"/>
        </w:rPr>
        <w:lastRenderedPageBreak/>
        <w:t>在基金财产中列支。</w:t>
      </w:r>
    </w:p>
    <w:p w14:paraId="556DED4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（三）基金管理人与基金托管人同时更换的条件和程序</w:t>
      </w:r>
    </w:p>
    <w:p w14:paraId="7534F41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1.提名：如果基金管理人和基金托管人同时更换，由单独或合计持有基金总份</w:t>
      </w:r>
      <w:r w:rsidRPr="005F0ABA">
        <w:rPr>
          <w:rFonts w:ascii="宋体" w:hAnsi="宋体" w:cs="Arial" w:hint="eastAsia"/>
          <w:color w:val="000000" w:themeColor="text1"/>
          <w:sz w:val="24"/>
        </w:rPr>
        <w:t>额</w:t>
      </w:r>
      <w:r w:rsidRPr="005F0ABA">
        <w:rPr>
          <w:rFonts w:ascii="宋体" w:hAnsi="宋体" w:cs="Arial"/>
          <w:color w:val="000000" w:themeColor="text1"/>
          <w:sz w:val="24"/>
        </w:rPr>
        <w:t>10%以上(含10%)的基金份额持有人提名新的基金管理人和基金托管人；</w:t>
      </w:r>
    </w:p>
    <w:p w14:paraId="0B84154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2.基金管理人和基金托管人的更换分别按上述程序进行；</w:t>
      </w:r>
    </w:p>
    <w:p w14:paraId="653039C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w:t>
      </w:r>
      <w:r w:rsidRPr="005F0ABA">
        <w:rPr>
          <w:rFonts w:ascii="宋体" w:hAnsi="宋体" w:cs="Arial" w:hint="eastAsia"/>
          <w:color w:val="000000" w:themeColor="text1"/>
          <w:sz w:val="24"/>
        </w:rPr>
        <w:t>备案并公告：</w:t>
      </w:r>
      <w:proofErr w:type="gramStart"/>
      <w:r w:rsidRPr="005F0ABA">
        <w:rPr>
          <w:rFonts w:ascii="宋体" w:hAnsi="宋体" w:cs="Arial" w:hint="eastAsia"/>
          <w:color w:val="000000" w:themeColor="text1"/>
          <w:sz w:val="24"/>
        </w:rPr>
        <w:t>新任基金</w:t>
      </w:r>
      <w:proofErr w:type="gramEnd"/>
      <w:r w:rsidRPr="005F0ABA">
        <w:rPr>
          <w:rFonts w:ascii="宋体" w:hAnsi="宋体" w:cs="Arial" w:hint="eastAsia"/>
          <w:color w:val="000000" w:themeColor="text1"/>
          <w:sz w:val="24"/>
        </w:rPr>
        <w:t>管理人和</w:t>
      </w:r>
      <w:proofErr w:type="gramStart"/>
      <w:r w:rsidRPr="005F0ABA">
        <w:rPr>
          <w:rFonts w:ascii="宋体" w:hAnsi="宋体" w:cs="Arial" w:hint="eastAsia"/>
          <w:color w:val="000000" w:themeColor="text1"/>
          <w:sz w:val="24"/>
        </w:rPr>
        <w:t>新任基金</w:t>
      </w:r>
      <w:proofErr w:type="gramEnd"/>
      <w:r w:rsidRPr="005F0ABA">
        <w:rPr>
          <w:rFonts w:ascii="宋体" w:hAnsi="宋体" w:cs="Arial" w:hint="eastAsia"/>
          <w:color w:val="000000" w:themeColor="text1"/>
          <w:sz w:val="24"/>
        </w:rPr>
        <w:t>托管人应在更换基金管理人和基金托管人的基金份额持有人大会决议生效后依照《信息披露办法》的有关规定在规定媒介上联合公告并向中国证监会备案。</w:t>
      </w:r>
    </w:p>
    <w:p w14:paraId="0626497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（四）</w:t>
      </w:r>
      <w:proofErr w:type="gramStart"/>
      <w:r w:rsidRPr="005F0ABA">
        <w:rPr>
          <w:rFonts w:ascii="宋体" w:hAnsi="宋体" w:cs="Arial" w:hint="eastAsia"/>
          <w:color w:val="000000" w:themeColor="text1"/>
          <w:sz w:val="24"/>
        </w:rPr>
        <w:t>新任基金</w:t>
      </w:r>
      <w:proofErr w:type="gramEnd"/>
      <w:r w:rsidRPr="005F0ABA">
        <w:rPr>
          <w:rFonts w:ascii="宋体" w:hAnsi="宋体" w:cs="Arial" w:hint="eastAsia"/>
          <w:color w:val="000000" w:themeColor="text1"/>
          <w:sz w:val="24"/>
        </w:rPr>
        <w:t>管理人或临时基金管理人接收基金管理业务，或</w:t>
      </w:r>
      <w:proofErr w:type="gramStart"/>
      <w:r w:rsidRPr="005F0ABA">
        <w:rPr>
          <w:rFonts w:ascii="宋体" w:hAnsi="宋体" w:cs="Arial" w:hint="eastAsia"/>
          <w:color w:val="000000" w:themeColor="text1"/>
          <w:sz w:val="24"/>
        </w:rPr>
        <w:t>新任基金</w:t>
      </w:r>
      <w:proofErr w:type="gramEnd"/>
      <w:r w:rsidRPr="005F0ABA">
        <w:rPr>
          <w:rFonts w:ascii="宋体" w:hAnsi="宋体" w:cs="Arial" w:hint="eastAsia"/>
          <w:color w:val="000000" w:themeColor="text1"/>
          <w:sz w:val="24"/>
        </w:rPr>
        <w:t>托管人或临时基金托管人接收基金财产和基金托管业务前，</w:t>
      </w:r>
      <w:proofErr w:type="gramStart"/>
      <w:r w:rsidRPr="005F0ABA">
        <w:rPr>
          <w:rFonts w:ascii="宋体" w:hAnsi="宋体" w:cs="Arial" w:hint="eastAsia"/>
          <w:color w:val="000000" w:themeColor="text1"/>
          <w:sz w:val="24"/>
        </w:rPr>
        <w:t>原基金</w:t>
      </w:r>
      <w:proofErr w:type="gramEnd"/>
      <w:r w:rsidRPr="005F0ABA">
        <w:rPr>
          <w:rFonts w:ascii="宋体" w:hAnsi="宋体" w:cs="Arial" w:hint="eastAsia"/>
          <w:color w:val="000000" w:themeColor="text1"/>
          <w:sz w:val="24"/>
        </w:rPr>
        <w:t>管理人或</w:t>
      </w:r>
      <w:proofErr w:type="gramStart"/>
      <w:r w:rsidRPr="005F0ABA">
        <w:rPr>
          <w:rFonts w:ascii="宋体" w:hAnsi="宋体" w:cs="Arial" w:hint="eastAsia"/>
          <w:color w:val="000000" w:themeColor="text1"/>
          <w:sz w:val="24"/>
        </w:rPr>
        <w:t>原基金</w:t>
      </w:r>
      <w:proofErr w:type="gramEnd"/>
      <w:r w:rsidRPr="005F0ABA">
        <w:rPr>
          <w:rFonts w:ascii="宋体" w:hAnsi="宋体" w:cs="Arial" w:hint="eastAsia"/>
          <w:color w:val="000000" w:themeColor="text1"/>
          <w:sz w:val="24"/>
        </w:rPr>
        <w:t>托管人应继续履行相关职责，并保证不做出对基金份额持有人的利益造成损害的行为。</w:t>
      </w:r>
      <w:proofErr w:type="gramStart"/>
      <w:r w:rsidRPr="005F0ABA">
        <w:rPr>
          <w:rFonts w:ascii="宋体" w:hAnsi="宋体" w:cs="Arial" w:hint="eastAsia"/>
          <w:color w:val="000000" w:themeColor="text1"/>
          <w:sz w:val="24"/>
        </w:rPr>
        <w:t>原基金</w:t>
      </w:r>
      <w:proofErr w:type="gramEnd"/>
      <w:r w:rsidRPr="005F0ABA">
        <w:rPr>
          <w:rFonts w:ascii="宋体" w:hAnsi="宋体" w:cs="Arial" w:hint="eastAsia"/>
          <w:color w:val="000000" w:themeColor="text1"/>
          <w:sz w:val="24"/>
        </w:rPr>
        <w:t>管理人或</w:t>
      </w:r>
      <w:proofErr w:type="gramStart"/>
      <w:r w:rsidRPr="005F0ABA">
        <w:rPr>
          <w:rFonts w:ascii="宋体" w:hAnsi="宋体" w:cs="Arial" w:hint="eastAsia"/>
          <w:color w:val="000000" w:themeColor="text1"/>
          <w:sz w:val="24"/>
        </w:rPr>
        <w:t>原基金</w:t>
      </w:r>
      <w:proofErr w:type="gramEnd"/>
      <w:r w:rsidRPr="005F0ABA">
        <w:rPr>
          <w:rFonts w:ascii="宋体" w:hAnsi="宋体" w:cs="Arial" w:hint="eastAsia"/>
          <w:color w:val="000000" w:themeColor="text1"/>
          <w:sz w:val="24"/>
        </w:rPr>
        <w:t>托管人在继续履行相关职责期间，仍有权按照《基金合同》的规定收取基金管理费、基金托管费。</w:t>
      </w:r>
    </w:p>
    <w:p w14:paraId="05DDF5F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（五）本部</w:t>
      </w:r>
      <w:proofErr w:type="gramStart"/>
      <w:r w:rsidRPr="005F0ABA">
        <w:rPr>
          <w:rFonts w:ascii="宋体" w:hAnsi="宋体" w:cs="Arial" w:hint="eastAsia"/>
          <w:color w:val="000000" w:themeColor="text1"/>
          <w:sz w:val="24"/>
        </w:rPr>
        <w:t>分关于</w:t>
      </w:r>
      <w:proofErr w:type="gramEnd"/>
      <w:r w:rsidRPr="005F0ABA">
        <w:rPr>
          <w:rFonts w:ascii="宋体" w:hAnsi="宋体" w:cs="Arial" w:hint="eastAsia"/>
          <w:color w:val="000000" w:themeColor="text1"/>
          <w:sz w:val="24"/>
        </w:rPr>
        <w:t>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2F329984" w14:textId="77777777" w:rsidR="003E6A3F" w:rsidRPr="005F0ABA" w:rsidRDefault="003E6A3F">
      <w:pPr>
        <w:adjustRightInd w:val="0"/>
        <w:snapToGrid w:val="0"/>
        <w:spacing w:line="360" w:lineRule="auto"/>
        <w:rPr>
          <w:rFonts w:ascii="宋体" w:hAnsi="宋体" w:cs="Arial"/>
          <w:color w:val="000000" w:themeColor="text1"/>
          <w:sz w:val="24"/>
        </w:rPr>
      </w:pPr>
    </w:p>
    <w:p w14:paraId="4338360B"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95" w:name="_Toc124325899"/>
      <w:r w:rsidRPr="005F0ABA">
        <w:rPr>
          <w:rFonts w:ascii="宋体" w:eastAsia="宋体" w:hAnsi="宋体" w:hint="eastAsia"/>
          <w:color w:val="000000" w:themeColor="text1"/>
          <w:sz w:val="30"/>
        </w:rPr>
        <w:t>十五、禁止行为</w:t>
      </w:r>
      <w:bookmarkEnd w:id="95"/>
    </w:p>
    <w:p w14:paraId="5E7E1CB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本协议当事人禁止从事的行为，包括但不限于：</w:t>
      </w:r>
    </w:p>
    <w:p w14:paraId="27204E5B" w14:textId="77777777" w:rsidR="003E6A3F" w:rsidRPr="005F0ABA" w:rsidRDefault="006E6B76">
      <w:pPr>
        <w:spacing w:line="360" w:lineRule="auto"/>
        <w:ind w:firstLineChars="200" w:firstLine="480"/>
        <w:rPr>
          <w:rFonts w:ascii="宋体" w:hAnsi="宋体"/>
          <w:color w:val="000000" w:themeColor="text1"/>
          <w:sz w:val="24"/>
        </w:rPr>
      </w:pPr>
      <w:r w:rsidRPr="005F0ABA">
        <w:rPr>
          <w:rFonts w:ascii="宋体" w:hAnsi="宋体" w:hint="eastAsia"/>
          <w:color w:val="000000" w:themeColor="text1"/>
          <w:sz w:val="24"/>
        </w:rPr>
        <w:t>（一）基金管理人、基金托管人将其固有财产或者他人财产混同于基金财产从事证券投资。</w:t>
      </w:r>
    </w:p>
    <w:p w14:paraId="1D6AC38A" w14:textId="77777777" w:rsidR="003E6A3F" w:rsidRPr="005F0ABA" w:rsidRDefault="006E6B76">
      <w:pPr>
        <w:spacing w:line="360" w:lineRule="auto"/>
        <w:ind w:firstLineChars="200" w:firstLine="480"/>
        <w:rPr>
          <w:rFonts w:ascii="宋体" w:hAnsi="宋体"/>
          <w:color w:val="000000" w:themeColor="text1"/>
        </w:rPr>
      </w:pPr>
      <w:r w:rsidRPr="005F0ABA">
        <w:rPr>
          <w:rFonts w:ascii="宋体" w:hAnsi="宋体" w:hint="eastAsia"/>
          <w:color w:val="000000" w:themeColor="text1"/>
          <w:sz w:val="24"/>
        </w:rPr>
        <w:t>（二）基金管理人不公平地对待其管理的不同基金财产，基金托管人不公平地对待其托管的不同基金财产。</w:t>
      </w:r>
    </w:p>
    <w:p w14:paraId="23DC4DBE" w14:textId="77777777" w:rsidR="003E6A3F" w:rsidRPr="005F0ABA" w:rsidRDefault="006E6B76">
      <w:pPr>
        <w:spacing w:line="360" w:lineRule="auto"/>
        <w:ind w:firstLineChars="200" w:firstLine="480"/>
        <w:rPr>
          <w:rFonts w:ascii="宋体" w:hAnsi="宋体"/>
          <w:color w:val="000000" w:themeColor="text1"/>
          <w:sz w:val="24"/>
        </w:rPr>
      </w:pPr>
      <w:r w:rsidRPr="005F0ABA">
        <w:rPr>
          <w:rFonts w:ascii="宋体" w:hAnsi="宋体" w:hint="eastAsia"/>
          <w:color w:val="000000" w:themeColor="text1"/>
          <w:sz w:val="24"/>
        </w:rPr>
        <w:t>（三）基金管理人、基金托管人利用基金财产为基金份额持有人以外的第三人牟取利益。</w:t>
      </w:r>
    </w:p>
    <w:p w14:paraId="559F25DF" w14:textId="77777777" w:rsidR="003E6A3F" w:rsidRPr="005F0ABA" w:rsidRDefault="006E6B76">
      <w:pPr>
        <w:spacing w:line="360" w:lineRule="auto"/>
        <w:ind w:firstLineChars="200" w:firstLine="480"/>
        <w:rPr>
          <w:rFonts w:ascii="宋体" w:hAnsi="宋体"/>
          <w:color w:val="000000" w:themeColor="text1"/>
          <w:sz w:val="24"/>
        </w:rPr>
      </w:pPr>
      <w:r w:rsidRPr="005F0ABA">
        <w:rPr>
          <w:rFonts w:ascii="宋体" w:hAnsi="宋体" w:hint="eastAsia"/>
          <w:color w:val="000000" w:themeColor="text1"/>
          <w:sz w:val="24"/>
        </w:rPr>
        <w:t>（四）基金管理人、基金托管人向基金份额持有人违规承诺收益或者承担损失。</w:t>
      </w:r>
    </w:p>
    <w:p w14:paraId="557CD086" w14:textId="77777777" w:rsidR="003E6A3F" w:rsidRPr="005F0ABA" w:rsidRDefault="006E6B76" w:rsidP="005F0ABA">
      <w:pPr>
        <w:spacing w:line="360" w:lineRule="auto"/>
        <w:ind w:firstLineChars="200" w:firstLine="480"/>
        <w:rPr>
          <w:rFonts w:ascii="宋体" w:hAnsi="宋体"/>
          <w:color w:val="000000" w:themeColor="text1"/>
          <w:sz w:val="24"/>
        </w:rPr>
      </w:pPr>
      <w:r w:rsidRPr="005F0ABA">
        <w:rPr>
          <w:rFonts w:ascii="宋体" w:hAnsi="宋体" w:hint="eastAsia"/>
          <w:color w:val="000000" w:themeColor="text1"/>
          <w:sz w:val="24"/>
        </w:rPr>
        <w:t>（五）基金管理人、基金托管人对他人泄漏基金运作和管理过程中任何尚未按法律法规规定的方式公开披露的信息。</w:t>
      </w:r>
    </w:p>
    <w:p w14:paraId="30588FD4" w14:textId="77777777" w:rsidR="003E6A3F" w:rsidRPr="005F0ABA" w:rsidRDefault="006E6B76">
      <w:pPr>
        <w:adjustRightInd w:val="0"/>
        <w:snapToGrid w:val="0"/>
        <w:spacing w:line="360" w:lineRule="auto"/>
        <w:ind w:firstLineChars="200" w:firstLine="480"/>
        <w:rPr>
          <w:rFonts w:ascii="宋体" w:hAnsi="宋体" w:cs="Arial"/>
          <w:color w:val="000000" w:themeColor="text1"/>
        </w:rPr>
      </w:pPr>
      <w:r w:rsidRPr="005F0ABA">
        <w:rPr>
          <w:rFonts w:ascii="宋体" w:hAnsi="宋体" w:cs="Arial" w:hint="eastAsia"/>
          <w:color w:val="000000" w:themeColor="text1"/>
          <w:sz w:val="24"/>
        </w:rPr>
        <w:lastRenderedPageBreak/>
        <w:t>（六）基金管理人在没有充足资金的情况下向基金托管人发出投资指令和赎回、分红资金的划拨指令，或违规向基金托管人发出指令。</w:t>
      </w:r>
    </w:p>
    <w:p w14:paraId="5092881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（七）基金管理人、基金托管人在行政上、财务上不</w:t>
      </w:r>
      <w:proofErr w:type="gramStart"/>
      <w:r w:rsidRPr="005F0ABA">
        <w:rPr>
          <w:rFonts w:ascii="宋体" w:hAnsi="宋体" w:cs="Arial" w:hint="eastAsia"/>
          <w:color w:val="000000" w:themeColor="text1"/>
          <w:sz w:val="24"/>
        </w:rPr>
        <w:t>独立</w:t>
      </w:r>
      <w:r w:rsidRPr="005F0ABA">
        <w:rPr>
          <w:rFonts w:ascii="宋体" w:hAnsi="宋体" w:cs="Arial"/>
          <w:color w:val="000000" w:themeColor="text1"/>
          <w:sz w:val="24"/>
        </w:rPr>
        <w:t>,</w:t>
      </w:r>
      <w:proofErr w:type="gramEnd"/>
      <w:r w:rsidRPr="005F0ABA">
        <w:rPr>
          <w:rFonts w:ascii="宋体" w:hAnsi="宋体" w:cs="Arial"/>
          <w:color w:val="000000" w:themeColor="text1"/>
          <w:sz w:val="24"/>
        </w:rPr>
        <w:t xml:space="preserve"> </w:t>
      </w:r>
      <w:r w:rsidRPr="005F0ABA">
        <w:rPr>
          <w:rFonts w:ascii="宋体" w:hAnsi="宋体" w:cs="Arial" w:hint="eastAsia"/>
          <w:color w:val="000000" w:themeColor="text1"/>
          <w:sz w:val="24"/>
        </w:rPr>
        <w:t>其高级管理人员和其他从业人员相互兼职。</w:t>
      </w:r>
    </w:p>
    <w:p w14:paraId="207CA10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（八）基金托管人私自动用或处分基金财产，根据基金管理人的合法指令、《基金合同》或托管协议的规定进行处分的除外。</w:t>
      </w:r>
    </w:p>
    <w:p w14:paraId="683AFB09" w14:textId="719A266C"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（九）基金财产用于下列投资或者活动：1.承销证券；</w:t>
      </w:r>
      <w:r w:rsidRPr="005F0ABA">
        <w:rPr>
          <w:rFonts w:ascii="宋体" w:hAnsi="宋体" w:cs="Arial"/>
          <w:color w:val="000000" w:themeColor="text1"/>
          <w:sz w:val="24"/>
        </w:rPr>
        <w:t>2.违反规定向他人贷款或者提供担保；3.从事承担无限责任的投资；4.买卖其他基金份额，但是</w:t>
      </w:r>
      <w:r w:rsidRPr="005F0ABA">
        <w:rPr>
          <w:rFonts w:ascii="宋体" w:hAnsi="宋体" w:cs="Arial" w:hint="eastAsia"/>
          <w:color w:val="000000" w:themeColor="text1"/>
          <w:sz w:val="24"/>
        </w:rPr>
        <w:t>中国证监会另有规定的除外；</w:t>
      </w:r>
      <w:r w:rsidRPr="005F0ABA">
        <w:rPr>
          <w:rFonts w:ascii="宋体" w:hAnsi="宋体" w:cs="Arial"/>
          <w:color w:val="000000" w:themeColor="text1"/>
          <w:sz w:val="24"/>
        </w:rPr>
        <w:t>5.向其基金管理人、基金托管人出资；6.从事内幕交易、操纵证券交易价格及其他不正当的证券交易活动；7.法律、行政法规和</w:t>
      </w:r>
      <w:r w:rsidRPr="005F0ABA">
        <w:rPr>
          <w:rFonts w:ascii="宋体" w:hAnsi="宋体" w:cs="Arial" w:hint="eastAsia"/>
          <w:color w:val="000000" w:themeColor="text1"/>
          <w:sz w:val="24"/>
        </w:rPr>
        <w:t>中国证监会规定禁止的其他活动。如法律法规或监管部门取消或调整上述禁止性规定，在基金管理人履行适当程序后，则本基金投资不再受相关限制或按调整后的规定执行。</w:t>
      </w:r>
    </w:p>
    <w:p w14:paraId="39BD728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（十）法律法规和《基金合同》禁止的其他行为，以及依照法律、行</w:t>
      </w:r>
      <w:r w:rsidRPr="005F0ABA">
        <w:rPr>
          <w:rFonts w:ascii="宋体" w:hAnsi="宋体" w:hint="eastAsia"/>
          <w:color w:val="000000" w:themeColor="text1"/>
          <w:sz w:val="24"/>
        </w:rPr>
        <w:t>政法规有关规定，由国务院证券监督管理机构规定禁止基金管理人、基金托管人从事的其他行为。</w:t>
      </w:r>
    </w:p>
    <w:p w14:paraId="33DF2186" w14:textId="77777777" w:rsidR="003E6A3F" w:rsidRPr="005F0ABA" w:rsidRDefault="003E6A3F">
      <w:pPr>
        <w:adjustRightInd w:val="0"/>
        <w:snapToGrid w:val="0"/>
        <w:spacing w:line="360" w:lineRule="auto"/>
        <w:rPr>
          <w:rFonts w:ascii="宋体" w:hAnsi="宋体"/>
          <w:color w:val="000000" w:themeColor="text1"/>
          <w:sz w:val="30"/>
          <w:szCs w:val="30"/>
        </w:rPr>
      </w:pPr>
    </w:p>
    <w:p w14:paraId="1215D6EB"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96" w:name="_Toc124325900"/>
      <w:r w:rsidRPr="005F0ABA">
        <w:rPr>
          <w:rFonts w:ascii="宋体" w:eastAsia="宋体" w:hAnsi="宋体" w:hint="eastAsia"/>
          <w:color w:val="000000" w:themeColor="text1"/>
          <w:sz w:val="30"/>
        </w:rPr>
        <w:t>十六、托管协议的变更、终止与基金财产的清算</w:t>
      </w:r>
      <w:bookmarkEnd w:id="96"/>
    </w:p>
    <w:p w14:paraId="6AE2A28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（一）托管协议的变更程序</w:t>
      </w:r>
    </w:p>
    <w:p w14:paraId="1382E95F" w14:textId="41C0FE09" w:rsidR="003E6A3F" w:rsidRPr="005F0ABA" w:rsidRDefault="006E6B76">
      <w:pPr>
        <w:adjustRightInd w:val="0"/>
        <w:snapToGrid w:val="0"/>
        <w:spacing w:line="360" w:lineRule="auto"/>
        <w:ind w:firstLineChars="200" w:firstLine="480"/>
        <w:rPr>
          <w:rFonts w:ascii="宋体" w:hAnsi="宋体"/>
          <w:color w:val="000000" w:themeColor="text1"/>
          <w:sz w:val="30"/>
          <w:szCs w:val="30"/>
        </w:rPr>
      </w:pPr>
      <w:r w:rsidRPr="005F0ABA">
        <w:rPr>
          <w:rFonts w:ascii="宋体" w:hAnsi="宋体" w:cs="Arial" w:hint="eastAsia"/>
          <w:color w:val="000000" w:themeColor="text1"/>
          <w:sz w:val="24"/>
        </w:rPr>
        <w:t>本协议双方当事人经协商一致，可以对协议进行修改。修改后的新协议，其内容不得与《基金合同》的规定有任何冲突。</w:t>
      </w:r>
    </w:p>
    <w:p w14:paraId="203F959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（二）托管协议终止的情形</w:t>
      </w:r>
    </w:p>
    <w:p w14:paraId="425A7E8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1.《基金合同》终止；</w:t>
      </w:r>
    </w:p>
    <w:p w14:paraId="24B59FA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2.基金托管人解散、依法被撤销、破产或由其他基金托管人接管基金资产；</w:t>
      </w:r>
    </w:p>
    <w:p w14:paraId="66BA4E2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3.基金管理人解散、依法被撤销、破产或由其他基金管理人接管基金管理权；</w:t>
      </w:r>
    </w:p>
    <w:p w14:paraId="1455773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4.发生法律法规或《基金合同》规定的终止事项。</w:t>
      </w:r>
    </w:p>
    <w:p w14:paraId="2DCAC67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（三）基金财产的清算</w:t>
      </w:r>
    </w:p>
    <w:p w14:paraId="572D263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1.基金财产清算小组：自出现《基金合同》终止事由之日起30个工作日内成立清算小组，基金管理人组织基金财产清算小组并在中国证监会的监督下进行基金清算。</w:t>
      </w:r>
    </w:p>
    <w:p w14:paraId="7A1EE08B" w14:textId="23DE826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lastRenderedPageBreak/>
        <w:t>2.基金财产清算小组组成：基金财产清算小组成员由基金管理人、基金托管人、</w:t>
      </w:r>
      <w:r w:rsidR="00461D06" w:rsidRPr="005F0ABA">
        <w:rPr>
          <w:rFonts w:ascii="宋体" w:hAnsi="宋体" w:cs="Arial" w:hint="eastAsia"/>
          <w:color w:val="000000" w:themeColor="text1"/>
          <w:sz w:val="24"/>
        </w:rPr>
        <w:t>具有证券相关业务资格</w:t>
      </w:r>
      <w:r w:rsidRPr="005F0ABA">
        <w:rPr>
          <w:rFonts w:ascii="宋体" w:hAnsi="宋体" w:cs="Arial" w:hint="eastAsia"/>
          <w:color w:val="000000" w:themeColor="text1"/>
          <w:sz w:val="24"/>
        </w:rPr>
        <w:t>的注册会计师、律师以及中国证监会指定的人员组成。基金财产清算小组可以聘用必要的工作人员。</w:t>
      </w:r>
    </w:p>
    <w:p w14:paraId="0D991DE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3.基金财产清算小组职责：基金财产清算小组负责基金财产的保管、清理、估价、变现和分配。基金财产清算小组可以依法进行必要的民事活动。</w:t>
      </w:r>
    </w:p>
    <w:p w14:paraId="461DB01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4.基金财产清算程序：</w:t>
      </w:r>
    </w:p>
    <w:p w14:paraId="7BF9358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w:t>
      </w:r>
      <w:bookmarkStart w:id="97" w:name="_Hlk119338626"/>
      <w:r w:rsidRPr="005F0ABA">
        <w:rPr>
          <w:rFonts w:ascii="宋体" w:hAnsi="宋体" w:cs="Arial" w:hint="eastAsia"/>
          <w:color w:val="000000" w:themeColor="text1"/>
          <w:sz w:val="24"/>
        </w:rPr>
        <w:t>《基金合同》终止情形出现时，</w:t>
      </w:r>
      <w:bookmarkEnd w:id="97"/>
      <w:r w:rsidRPr="005F0ABA">
        <w:rPr>
          <w:rFonts w:ascii="宋体" w:hAnsi="宋体" w:cs="Arial" w:hint="eastAsia"/>
          <w:color w:val="000000" w:themeColor="text1"/>
          <w:sz w:val="24"/>
        </w:rPr>
        <w:t>由基金财产清算小组统一接管基金；</w:t>
      </w:r>
    </w:p>
    <w:p w14:paraId="2287475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(2)对基金财产和债权债务进行清理和确认；</w:t>
      </w:r>
    </w:p>
    <w:p w14:paraId="3AC8E9F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(3)对基金财产进行估值和变现；</w:t>
      </w:r>
    </w:p>
    <w:p w14:paraId="48C3766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(4)制作清算报告；</w:t>
      </w:r>
    </w:p>
    <w:p w14:paraId="0DA21B9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(5)聘请会计师事务所对清算报告进行外部审计，聘请律师事务所对清算报告出具法律意见书；</w:t>
      </w:r>
    </w:p>
    <w:p w14:paraId="1F0874D3"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(6)将清算</w:t>
      </w:r>
      <w:r w:rsidRPr="005F0ABA">
        <w:rPr>
          <w:rFonts w:ascii="宋体" w:hAnsi="宋体" w:cs="Arial" w:hint="eastAsia"/>
          <w:color w:val="000000" w:themeColor="text1"/>
          <w:sz w:val="24"/>
        </w:rPr>
        <w:t>报告报中国证监会备案并公告；</w:t>
      </w:r>
    </w:p>
    <w:p w14:paraId="227692C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(7)对基金</w:t>
      </w:r>
      <w:r w:rsidRPr="005F0ABA">
        <w:rPr>
          <w:rFonts w:ascii="宋体" w:hAnsi="宋体" w:cs="Arial" w:hint="eastAsia"/>
          <w:color w:val="000000" w:themeColor="text1"/>
          <w:sz w:val="24"/>
        </w:rPr>
        <w:t>剩余财产进行分配。</w:t>
      </w:r>
    </w:p>
    <w:p w14:paraId="39E8B042"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5.基金财产清算的期限为6</w:t>
      </w:r>
      <w:r w:rsidRPr="005F0ABA">
        <w:rPr>
          <w:rFonts w:ascii="宋体" w:hAnsi="宋体" w:cs="Arial" w:hint="eastAsia"/>
          <w:color w:val="000000" w:themeColor="text1"/>
          <w:sz w:val="24"/>
        </w:rPr>
        <w:t>个月，</w:t>
      </w:r>
      <w:r w:rsidRPr="005F0ABA">
        <w:rPr>
          <w:rFonts w:ascii="宋体" w:hAnsi="宋体" w:hint="eastAsia"/>
          <w:bCs/>
          <w:color w:val="000000" w:themeColor="text1"/>
          <w:sz w:val="24"/>
        </w:rPr>
        <w:t>但因本基金所持证券的流动性受到限制而不能及时变现的，清算期限可相应顺延</w:t>
      </w:r>
      <w:r w:rsidRPr="005F0ABA">
        <w:rPr>
          <w:rFonts w:ascii="宋体" w:hAnsi="宋体" w:cs="Arial" w:hint="eastAsia"/>
          <w:color w:val="000000" w:themeColor="text1"/>
          <w:sz w:val="24"/>
        </w:rPr>
        <w:t>。</w:t>
      </w:r>
    </w:p>
    <w:p w14:paraId="2EBEAC05"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6.清算费用</w:t>
      </w:r>
    </w:p>
    <w:p w14:paraId="63D9FFB3"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清算费用是指基金财产清算小组在进行基金财产清算过程中发生的所有合理费用，清算费用由基金财产清算小组优先从基金剩余财产中支付。</w:t>
      </w:r>
    </w:p>
    <w:p w14:paraId="3D33659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7.基金财产清算剩余资产的分配</w:t>
      </w:r>
    </w:p>
    <w:p w14:paraId="77CD63D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依据基金财产清算的分配方案，将基金财产清算后的全部剩余资产扣除基金财产清算费用、交纳基金所欠税款并清偿基金债务后，按基金份额持有人持有的各类别基金份额比例进行分配。</w:t>
      </w:r>
    </w:p>
    <w:p w14:paraId="1D7B1C7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8.基金财产清算的公告</w:t>
      </w:r>
    </w:p>
    <w:p w14:paraId="170015D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清算过程中的有关重大事项须及时公告；基金财产清算报告</w:t>
      </w:r>
      <w:proofErr w:type="gramStart"/>
      <w:r w:rsidRPr="005F0ABA">
        <w:rPr>
          <w:rFonts w:ascii="宋体" w:hAnsi="宋体" w:cs="Arial" w:hint="eastAsia"/>
          <w:color w:val="000000" w:themeColor="text1"/>
          <w:sz w:val="24"/>
        </w:rPr>
        <w:t>经符合</w:t>
      </w:r>
      <w:proofErr w:type="gramEnd"/>
      <w:r w:rsidRPr="005F0ABA">
        <w:rPr>
          <w:rFonts w:ascii="宋体" w:hAnsi="宋体" w:cs="Arial" w:hint="eastAsia"/>
          <w:color w:val="000000" w:themeColor="text1"/>
          <w:sz w:val="24"/>
        </w:rPr>
        <w:t>《中华人民共和国证券法》规定的会计师事务所审计、并由律师事务所出具法律意见书后，报中国证监会备案并公告。基金财产清算公告于基金财产清算报告报中国证监会备案后</w:t>
      </w:r>
      <w:r w:rsidRPr="005F0ABA">
        <w:rPr>
          <w:rFonts w:ascii="宋体" w:hAnsi="宋体" w:cs="Arial"/>
          <w:color w:val="000000" w:themeColor="text1"/>
          <w:sz w:val="24"/>
        </w:rPr>
        <w:t>5</w:t>
      </w:r>
      <w:r w:rsidRPr="005F0ABA">
        <w:rPr>
          <w:rFonts w:ascii="宋体" w:hAnsi="宋体" w:cs="Arial" w:hint="eastAsia"/>
          <w:color w:val="000000" w:themeColor="text1"/>
          <w:sz w:val="24"/>
        </w:rPr>
        <w:t>个工作日内由基金财产清算小组进行公告，基金财产清算小组应当将清算报告登载在规定网站上，并将清算报告提示性公告登载在规定报刊上。</w:t>
      </w:r>
    </w:p>
    <w:p w14:paraId="7951ADD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9.基金财产清算账册及文件的保存</w:t>
      </w:r>
    </w:p>
    <w:p w14:paraId="61C2F24A" w14:textId="10EA9A4E" w:rsidR="003B7A4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lastRenderedPageBreak/>
        <w:t>基金财产清算账册及有关文件由基金托管人保存，</w:t>
      </w:r>
      <w:r w:rsidR="003B7A4F" w:rsidRPr="005F0ABA">
        <w:rPr>
          <w:rFonts w:ascii="宋体" w:hAnsi="宋体" w:cs="Arial" w:hint="eastAsia"/>
          <w:color w:val="000000" w:themeColor="text1"/>
          <w:sz w:val="24"/>
        </w:rPr>
        <w:t>保存</w:t>
      </w:r>
      <w:r w:rsidR="003B7A4F" w:rsidRPr="005F0ABA">
        <w:rPr>
          <w:rFonts w:ascii="宋体" w:hAnsi="宋体" w:cs="Arial" w:hint="eastAsia"/>
          <w:bCs/>
          <w:color w:val="000000" w:themeColor="text1"/>
          <w:sz w:val="24"/>
        </w:rPr>
        <w:t>年限</w:t>
      </w:r>
      <w:r w:rsidR="003B7A4F" w:rsidRPr="005F0ABA">
        <w:rPr>
          <w:rFonts w:ascii="宋体" w:hAnsi="宋体" w:cs="Arial" w:hint="eastAsia"/>
          <w:color w:val="000000" w:themeColor="text1"/>
          <w:sz w:val="24"/>
        </w:rPr>
        <w:t>按照法律法规的规定执行。</w:t>
      </w:r>
    </w:p>
    <w:p w14:paraId="7D110771" w14:textId="77777777" w:rsidR="003B7A4F" w:rsidRPr="005F0ABA" w:rsidRDefault="003B7A4F" w:rsidP="003B7A4F">
      <w:pPr>
        <w:adjustRightInd w:val="0"/>
        <w:snapToGrid w:val="0"/>
        <w:spacing w:line="360" w:lineRule="auto"/>
        <w:ind w:firstLineChars="200" w:firstLine="480"/>
        <w:rPr>
          <w:rFonts w:ascii="宋体" w:hAnsi="宋体" w:cs="Arial"/>
          <w:bCs/>
          <w:color w:val="000000" w:themeColor="text1"/>
          <w:sz w:val="24"/>
        </w:rPr>
      </w:pPr>
      <w:r w:rsidRPr="005F0ABA">
        <w:rPr>
          <w:rFonts w:ascii="宋体" w:hAnsi="宋体" w:cs="Arial"/>
          <w:color w:val="000000" w:themeColor="text1"/>
          <w:sz w:val="24"/>
        </w:rPr>
        <w:t>10.</w:t>
      </w:r>
      <w:r w:rsidRPr="005F0ABA">
        <w:rPr>
          <w:rFonts w:ascii="宋体" w:hAnsi="宋体" w:cs="Arial" w:hint="eastAsia"/>
          <w:bCs/>
          <w:color w:val="000000" w:themeColor="text1"/>
          <w:sz w:val="24"/>
        </w:rPr>
        <w:t>基金合并方案</w:t>
      </w:r>
    </w:p>
    <w:p w14:paraId="1157844C" w14:textId="77777777" w:rsidR="003B7A4F" w:rsidRPr="005F0ABA" w:rsidRDefault="003B7A4F" w:rsidP="003B7A4F">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bCs/>
          <w:color w:val="000000" w:themeColor="text1"/>
          <w:sz w:val="24"/>
        </w:rPr>
        <w:t>本基金与其他基金的合并应当按照法律法规规定的程序进行。</w:t>
      </w:r>
    </w:p>
    <w:p w14:paraId="2DDE31FF" w14:textId="77777777" w:rsidR="003E6A3F" w:rsidRPr="005F0ABA" w:rsidRDefault="003E6A3F" w:rsidP="005F0ABA">
      <w:pPr>
        <w:adjustRightInd w:val="0"/>
        <w:snapToGrid w:val="0"/>
        <w:spacing w:line="360" w:lineRule="auto"/>
        <w:ind w:firstLineChars="200" w:firstLine="480"/>
        <w:rPr>
          <w:rFonts w:ascii="宋体" w:hAnsi="宋体" w:cs="Arial"/>
          <w:color w:val="000000" w:themeColor="text1"/>
          <w:sz w:val="24"/>
        </w:rPr>
      </w:pPr>
    </w:p>
    <w:p w14:paraId="4030D78F"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98" w:name="_Toc124325901"/>
      <w:r w:rsidRPr="005F0ABA">
        <w:rPr>
          <w:rFonts w:ascii="宋体" w:eastAsia="宋体" w:hAnsi="宋体" w:hint="eastAsia"/>
          <w:color w:val="000000" w:themeColor="text1"/>
          <w:sz w:val="30"/>
        </w:rPr>
        <w:t>十七、违约责任</w:t>
      </w:r>
      <w:bookmarkEnd w:id="98"/>
    </w:p>
    <w:p w14:paraId="2CCA4D3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（一）基金管理人、基金托管人不履行本协议或履行本协议不符合约定的，应当承担违约责任。</w:t>
      </w:r>
    </w:p>
    <w:p w14:paraId="6800D64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基金管理人、基金托管人在履行各自职责的过程中，违反《基金法》或者《基金合同》和本托管协议约定，给基金财产或者基金份额持有人造成损害的，应当分别对各自的行为依法承担赔偿责任；因共同行为给基金财产或者基金份额持有人造成损害的，应当承担连带赔偿责任。</w:t>
      </w:r>
    </w:p>
    <w:p w14:paraId="032A1EF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三）一方当事人违约，给另一方当事人造成损失的，应就直接损失进行赔偿；给基金财产造成损失的，应就直接损失进行赔偿，另一方当事人有权利及义务代表基金向违约方追偿。但是如发生下列情况，当事人免责：</w:t>
      </w:r>
    </w:p>
    <w:p w14:paraId="01F2BF27"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1.不可抗力；</w:t>
      </w:r>
    </w:p>
    <w:p w14:paraId="589BF15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2.基金管理人</w:t>
      </w:r>
      <w:r w:rsidRPr="005F0ABA">
        <w:rPr>
          <w:rFonts w:ascii="宋体" w:hAnsi="宋体" w:cs="Arial" w:hint="eastAsia"/>
          <w:color w:val="000000" w:themeColor="text1"/>
          <w:sz w:val="24"/>
        </w:rPr>
        <w:t>和</w:t>
      </w:r>
      <w:r w:rsidRPr="005F0ABA">
        <w:rPr>
          <w:rFonts w:ascii="宋体" w:hAnsi="宋体" w:cs="Arial"/>
          <w:color w:val="000000" w:themeColor="text1"/>
          <w:sz w:val="24"/>
        </w:rPr>
        <w:t>/或</w:t>
      </w:r>
      <w:r w:rsidRPr="005F0ABA">
        <w:rPr>
          <w:rFonts w:ascii="宋体" w:hAnsi="宋体" w:cs="Arial" w:hint="eastAsia"/>
          <w:color w:val="000000" w:themeColor="text1"/>
          <w:sz w:val="24"/>
        </w:rPr>
        <w:t>基金托管人按照当时有效的法律法规、规章、市场交易规则或中国证监会的规定作为或不作为而造成的损失等；</w:t>
      </w:r>
    </w:p>
    <w:p w14:paraId="718693F4"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color w:val="000000" w:themeColor="text1"/>
          <w:sz w:val="24"/>
        </w:rPr>
        <w:t>3.</w:t>
      </w:r>
      <w:r w:rsidRPr="005F0ABA">
        <w:rPr>
          <w:rFonts w:ascii="宋体" w:hAnsi="宋体" w:cs="Arial" w:hint="eastAsia"/>
          <w:color w:val="000000" w:themeColor="text1"/>
          <w:sz w:val="24"/>
        </w:rPr>
        <w:t>在没有过错的情况下，基金管理人由于按照《基金合同》规定的投资原则行使或不行使其投资权而造成的损失。</w:t>
      </w:r>
    </w:p>
    <w:p w14:paraId="7FF0201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bookmarkStart w:id="99" w:name="_Hlk161935647"/>
      <w:r w:rsidRPr="005F0ABA">
        <w:rPr>
          <w:rFonts w:ascii="宋体" w:hAnsi="宋体" w:cs="Arial" w:hint="eastAsia"/>
          <w:color w:val="000000" w:themeColor="text1"/>
          <w:sz w:val="24"/>
        </w:rPr>
        <w:t>4.非因基金管理人、基金托管人的故意或重大过失造成的计算机系统故障、网络故障、通讯故障、电力故障、计算机病毒攻击及其它意外事故所导致的损失等。</w:t>
      </w:r>
    </w:p>
    <w:bookmarkEnd w:id="99"/>
    <w:p w14:paraId="3A0CC4D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14:paraId="16E7361C"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（五）违约行为虽已发生，但本托管协议能够继续履行的，在最大限度地保护基金份额持有人利益的前提下，基金管理人和基金托管人应当继续履行本协议。</w:t>
      </w:r>
    </w:p>
    <w:p w14:paraId="3F137BC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（六）由于基金管理人、基金托管人不可控制的因素导致业务出现差错，基金管理人和基金托管人虽然已经采取必要、适当、合理的措施进行检查，但是未能发</w:t>
      </w:r>
      <w:r w:rsidRPr="005F0ABA">
        <w:rPr>
          <w:rFonts w:ascii="宋体" w:hAnsi="宋体" w:cs="Arial" w:hint="eastAsia"/>
          <w:color w:val="000000" w:themeColor="text1"/>
          <w:sz w:val="24"/>
        </w:rPr>
        <w:lastRenderedPageBreak/>
        <w:t>现错误或因前述原因未能避免或更正错误的，由此造成基金财产或投资人损失，基金管理人和基金托管人免除赔偿责任。但是基金管理人和基金托管人应积极采取必要的措施减轻或消除由此造成的影响。</w:t>
      </w:r>
    </w:p>
    <w:p w14:paraId="6980768E" w14:textId="77777777" w:rsidR="003E6A3F" w:rsidRPr="005F0ABA" w:rsidRDefault="003E6A3F">
      <w:pPr>
        <w:rPr>
          <w:rFonts w:ascii="宋体" w:hAnsi="宋体"/>
          <w:color w:val="000000" w:themeColor="text1"/>
        </w:rPr>
      </w:pPr>
    </w:p>
    <w:p w14:paraId="005109B2"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100" w:name="_Toc124325902"/>
      <w:r w:rsidRPr="005F0ABA">
        <w:rPr>
          <w:rFonts w:ascii="宋体" w:eastAsia="宋体" w:hAnsi="宋体" w:hint="eastAsia"/>
          <w:color w:val="000000" w:themeColor="text1"/>
          <w:sz w:val="30"/>
        </w:rPr>
        <w:t>十八、争议解决方式</w:t>
      </w:r>
      <w:bookmarkEnd w:id="100"/>
    </w:p>
    <w:p w14:paraId="3FED988D"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因本协议产生或与之相关的争议，双方当事人应通过协商、调解解决，协商、调解不能解决的，任何一方均有权将争议提交中国国际经济贸易仲裁委员会，仲裁地点为北京市，按照该会届时有效的仲裁规则进行仲裁。仲裁裁决是终局的，对各方当事人均有约束力。除非仲裁裁决另有规定，仲裁费用由败诉方承担。</w:t>
      </w:r>
    </w:p>
    <w:p w14:paraId="19023D7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争议处理期间，双方当事人应恪守基金管理人和基金托管人职责，各自继续忠实、勤勉、尽责地履行《基金合同》和本托管协议规定的义务，维护基金份额持有人的合法权益。</w:t>
      </w:r>
    </w:p>
    <w:p w14:paraId="05FD5AE6"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本协议受中国法律（为本协议之目的，在此不包括香港、澳门特别行政区和台湾地区法律）管辖并从其解释。</w:t>
      </w:r>
    </w:p>
    <w:p w14:paraId="6394DA68" w14:textId="77777777" w:rsidR="003E6A3F" w:rsidRPr="005F0ABA" w:rsidRDefault="003E6A3F">
      <w:pPr>
        <w:adjustRightInd w:val="0"/>
        <w:snapToGrid w:val="0"/>
        <w:spacing w:line="360" w:lineRule="auto"/>
        <w:rPr>
          <w:rFonts w:ascii="宋体" w:hAnsi="宋体" w:cs="Arial"/>
          <w:color w:val="000000" w:themeColor="text1"/>
          <w:sz w:val="24"/>
        </w:rPr>
      </w:pPr>
    </w:p>
    <w:p w14:paraId="608BB21A"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101" w:name="_Toc124325903"/>
      <w:r w:rsidRPr="005F0ABA">
        <w:rPr>
          <w:rFonts w:ascii="宋体" w:eastAsia="宋体" w:hAnsi="宋体" w:hint="eastAsia"/>
          <w:color w:val="000000" w:themeColor="text1"/>
          <w:sz w:val="30"/>
        </w:rPr>
        <w:t>十九、托管协议的效力</w:t>
      </w:r>
      <w:bookmarkEnd w:id="101"/>
    </w:p>
    <w:p w14:paraId="6A3C85FB"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双方对托管协议的效力约定如下：</w:t>
      </w:r>
    </w:p>
    <w:p w14:paraId="2EECD5A9"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一）基金管理人在向中国证监会申请发售基金份额时提交的托管协议草案，应经托管协议当事人双方盖章以及双方法定代表人或授权代表签字（或盖章），协议当事人双方根据中国证监会的意见修改托管协议草案。托管协议以中国证监会备案的文本为正式文本。</w:t>
      </w:r>
    </w:p>
    <w:p w14:paraId="4ECD885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（二）托管协议自《基金合同》成立之日起成立，自《基金合同》生效之日起生效。托管协议的有效期自其生效之日起至基金财产清算结果报中国证监会备案并公告之日止。</w:t>
      </w:r>
    </w:p>
    <w:p w14:paraId="3DF34FB0"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（三）托管协议自生效之日起对托管协议当事人具有同等的法律约束力。</w:t>
      </w:r>
    </w:p>
    <w:p w14:paraId="3A44D89F" w14:textId="77777777" w:rsidR="003E6A3F" w:rsidRPr="005F0ABA" w:rsidRDefault="006E6B76">
      <w:pPr>
        <w:adjustRightInd w:val="0"/>
        <w:snapToGrid w:val="0"/>
        <w:spacing w:line="360" w:lineRule="auto"/>
        <w:ind w:firstLineChars="200" w:firstLine="480"/>
        <w:rPr>
          <w:rFonts w:ascii="宋体" w:hAnsi="宋体"/>
          <w:color w:val="000000" w:themeColor="text1"/>
          <w:sz w:val="30"/>
          <w:szCs w:val="30"/>
        </w:rPr>
      </w:pPr>
      <w:r w:rsidRPr="005F0ABA">
        <w:rPr>
          <w:rFonts w:ascii="宋体" w:hAnsi="宋体" w:cs="Arial" w:hint="eastAsia"/>
          <w:color w:val="000000" w:themeColor="text1"/>
          <w:sz w:val="24"/>
        </w:rPr>
        <w:t>（四）本协议一式三份，协议双方各持一份，上报监管机构一份，每份具有同等的法律效力。</w:t>
      </w:r>
    </w:p>
    <w:p w14:paraId="7E3722C0" w14:textId="77777777" w:rsidR="003E6A3F" w:rsidRPr="005F0ABA" w:rsidRDefault="003E6A3F">
      <w:pPr>
        <w:adjustRightInd w:val="0"/>
        <w:snapToGrid w:val="0"/>
        <w:spacing w:line="360" w:lineRule="auto"/>
        <w:rPr>
          <w:rFonts w:ascii="宋体" w:hAnsi="宋体" w:cs="Arial"/>
          <w:color w:val="000000" w:themeColor="text1"/>
          <w:sz w:val="24"/>
        </w:rPr>
      </w:pPr>
    </w:p>
    <w:p w14:paraId="243D1B89"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102" w:name="_Toc124325904"/>
      <w:r w:rsidRPr="005F0ABA">
        <w:rPr>
          <w:rFonts w:ascii="宋体" w:eastAsia="宋体" w:hAnsi="宋体" w:hint="eastAsia"/>
          <w:color w:val="000000" w:themeColor="text1"/>
          <w:sz w:val="30"/>
        </w:rPr>
        <w:lastRenderedPageBreak/>
        <w:t>二十、其他事项</w:t>
      </w:r>
      <w:bookmarkEnd w:id="102"/>
    </w:p>
    <w:p w14:paraId="57560CF1"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如发生有权司法机关依法冻结基金份额持有人的基金份额时，基金管理人应予以配合，承担司法协助义务。</w:t>
      </w:r>
    </w:p>
    <w:p w14:paraId="1B3B5FE8"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除本协议有明确定义外，本协议的用语定义适用《基金合同》的约定。本协议未尽事宜，当事人依据《基金合同》、有关法律法规等规定协商办理。</w:t>
      </w:r>
    </w:p>
    <w:p w14:paraId="4FDAFF67" w14:textId="77777777" w:rsidR="003E6A3F" w:rsidRPr="005F0ABA" w:rsidRDefault="003E6A3F">
      <w:pPr>
        <w:adjustRightInd w:val="0"/>
        <w:snapToGrid w:val="0"/>
        <w:spacing w:line="360" w:lineRule="auto"/>
        <w:rPr>
          <w:rFonts w:ascii="宋体" w:hAnsi="宋体"/>
          <w:b/>
          <w:bCs/>
          <w:color w:val="000000" w:themeColor="text1"/>
        </w:rPr>
      </w:pPr>
    </w:p>
    <w:p w14:paraId="1F84EE22" w14:textId="77777777" w:rsidR="003E6A3F" w:rsidRPr="005F0ABA" w:rsidRDefault="006E6B76">
      <w:pPr>
        <w:pStyle w:val="2"/>
        <w:spacing w:before="0" w:after="0" w:line="360" w:lineRule="auto"/>
        <w:jc w:val="center"/>
        <w:rPr>
          <w:rFonts w:ascii="宋体" w:eastAsia="宋体" w:hAnsi="宋体"/>
          <w:color w:val="000000" w:themeColor="text1"/>
          <w:sz w:val="30"/>
        </w:rPr>
      </w:pPr>
      <w:bookmarkStart w:id="103" w:name="_Toc124325905"/>
      <w:r w:rsidRPr="005F0ABA">
        <w:rPr>
          <w:rFonts w:ascii="宋体" w:eastAsia="宋体" w:hAnsi="宋体" w:hint="eastAsia"/>
          <w:color w:val="000000" w:themeColor="text1"/>
          <w:sz w:val="30"/>
        </w:rPr>
        <w:t>二十一、托管协议的签订</w:t>
      </w:r>
      <w:bookmarkEnd w:id="103"/>
    </w:p>
    <w:p w14:paraId="49B04E6A" w14:textId="77777777" w:rsidR="003E6A3F" w:rsidRPr="005F0ABA" w:rsidRDefault="006E6B76">
      <w:pPr>
        <w:adjustRightInd w:val="0"/>
        <w:snapToGrid w:val="0"/>
        <w:spacing w:line="360" w:lineRule="auto"/>
        <w:ind w:firstLineChars="200" w:firstLine="480"/>
        <w:rPr>
          <w:rFonts w:ascii="宋体" w:hAnsi="宋体" w:cs="Arial"/>
          <w:color w:val="000000" w:themeColor="text1"/>
          <w:sz w:val="24"/>
        </w:rPr>
      </w:pPr>
      <w:r w:rsidRPr="005F0ABA">
        <w:rPr>
          <w:rFonts w:ascii="宋体" w:hAnsi="宋体" w:cs="Arial" w:hint="eastAsia"/>
          <w:color w:val="000000" w:themeColor="text1"/>
          <w:sz w:val="24"/>
        </w:rPr>
        <w:t>本协议双方法定代表人或授权代表签章、签订地、签订日</w:t>
      </w:r>
    </w:p>
    <w:p w14:paraId="73AE776A" w14:textId="77777777" w:rsidR="003E6A3F" w:rsidRPr="005F0ABA" w:rsidRDefault="003E6A3F">
      <w:pPr>
        <w:widowControl/>
        <w:spacing w:beforeAutospacing="1" w:afterAutospacing="1"/>
        <w:jc w:val="left"/>
        <w:rPr>
          <w:rFonts w:ascii="宋体" w:hAnsi="宋体" w:cs="Arial"/>
          <w:color w:val="000000" w:themeColor="text1"/>
          <w:sz w:val="24"/>
        </w:rPr>
        <w:sectPr w:rsidR="003E6A3F" w:rsidRPr="005F0ABA" w:rsidSect="00D87DCE">
          <w:headerReference w:type="default" r:id="rId29"/>
          <w:footerReference w:type="default" r:id="rId30"/>
          <w:pgSz w:w="11906" w:h="16838"/>
          <w:pgMar w:top="1418" w:right="1701" w:bottom="1418" w:left="1701" w:header="851" w:footer="992" w:gutter="0"/>
          <w:cols w:space="720"/>
          <w:titlePg/>
          <w:docGrid w:type="lines" w:linePitch="312"/>
        </w:sectPr>
      </w:pPr>
    </w:p>
    <w:p w14:paraId="07281DB7" w14:textId="6CB2A6B8" w:rsidR="003E6A3F" w:rsidRPr="005F0ABA" w:rsidRDefault="006E6B76">
      <w:pPr>
        <w:spacing w:line="360" w:lineRule="auto"/>
        <w:ind w:right="26"/>
        <w:rPr>
          <w:rFonts w:ascii="宋体" w:hAnsi="宋体"/>
          <w:color w:val="000000" w:themeColor="text1"/>
          <w:sz w:val="24"/>
        </w:rPr>
      </w:pPr>
      <w:r w:rsidRPr="005F0ABA">
        <w:rPr>
          <w:rFonts w:ascii="宋体" w:hAnsi="宋体" w:hint="eastAsia"/>
          <w:color w:val="000000" w:themeColor="text1"/>
          <w:sz w:val="24"/>
        </w:rPr>
        <w:lastRenderedPageBreak/>
        <w:t>本页无正文，为《浦银裕鑫120天持有期债券型证券投资基金托管协议》的签字盖章页。</w:t>
      </w:r>
    </w:p>
    <w:p w14:paraId="2908A0DE" w14:textId="77777777" w:rsidR="003E6A3F" w:rsidRPr="005F0ABA" w:rsidRDefault="003E6A3F">
      <w:pPr>
        <w:spacing w:line="360" w:lineRule="auto"/>
        <w:rPr>
          <w:rFonts w:ascii="宋体" w:hAnsi="宋体"/>
          <w:color w:val="000000" w:themeColor="text1"/>
          <w:sz w:val="24"/>
        </w:rPr>
      </w:pPr>
    </w:p>
    <w:p w14:paraId="4B101EA5" w14:textId="1CB2E073" w:rsidR="003E6A3F" w:rsidRPr="005F0ABA" w:rsidRDefault="006E6B76">
      <w:pPr>
        <w:spacing w:line="360" w:lineRule="auto"/>
        <w:ind w:right="26"/>
        <w:rPr>
          <w:rFonts w:ascii="宋体" w:hAnsi="宋体"/>
          <w:color w:val="000000" w:themeColor="text1"/>
          <w:sz w:val="24"/>
        </w:rPr>
      </w:pPr>
      <w:r w:rsidRPr="005F0ABA">
        <w:rPr>
          <w:rFonts w:ascii="宋体" w:hAnsi="宋体" w:hint="eastAsia"/>
          <w:color w:val="000000" w:themeColor="text1"/>
          <w:sz w:val="24"/>
        </w:rPr>
        <w:t>基金管理人：</w:t>
      </w:r>
      <w:proofErr w:type="gramStart"/>
      <w:r w:rsidRPr="005F0ABA">
        <w:rPr>
          <w:rFonts w:ascii="宋体" w:hAnsi="宋体" w:hint="eastAsia"/>
          <w:color w:val="000000" w:themeColor="text1"/>
          <w:sz w:val="24"/>
        </w:rPr>
        <w:t>浦银基金</w:t>
      </w:r>
      <w:proofErr w:type="gramEnd"/>
      <w:r w:rsidRPr="005F0ABA">
        <w:rPr>
          <w:rFonts w:ascii="宋体" w:hAnsi="宋体" w:hint="eastAsia"/>
          <w:color w:val="000000" w:themeColor="text1"/>
          <w:sz w:val="24"/>
        </w:rPr>
        <w:t>管理有限公司（盖章）</w:t>
      </w:r>
    </w:p>
    <w:p w14:paraId="44746A0C" w14:textId="77777777" w:rsidR="003E6A3F" w:rsidRPr="005F0ABA" w:rsidRDefault="003E6A3F">
      <w:pPr>
        <w:spacing w:line="360" w:lineRule="auto"/>
        <w:ind w:right="26"/>
        <w:rPr>
          <w:rFonts w:ascii="宋体" w:hAnsi="宋体"/>
          <w:color w:val="000000" w:themeColor="text1"/>
          <w:sz w:val="24"/>
        </w:rPr>
      </w:pPr>
    </w:p>
    <w:p w14:paraId="41151A7D" w14:textId="77777777" w:rsidR="003E6A3F" w:rsidRPr="005F0ABA" w:rsidRDefault="003E6A3F">
      <w:pPr>
        <w:spacing w:line="360" w:lineRule="auto"/>
        <w:ind w:right="26"/>
        <w:rPr>
          <w:rFonts w:ascii="宋体" w:hAnsi="宋体"/>
          <w:color w:val="000000" w:themeColor="text1"/>
          <w:sz w:val="24"/>
        </w:rPr>
      </w:pPr>
    </w:p>
    <w:p w14:paraId="61A5F5DD" w14:textId="77777777" w:rsidR="003E6A3F" w:rsidRPr="005F0ABA" w:rsidRDefault="006E6B76">
      <w:pPr>
        <w:spacing w:line="360" w:lineRule="auto"/>
        <w:ind w:right="26"/>
        <w:rPr>
          <w:rFonts w:ascii="宋体" w:hAnsi="宋体"/>
          <w:color w:val="000000" w:themeColor="text1"/>
          <w:sz w:val="24"/>
        </w:rPr>
      </w:pPr>
      <w:r w:rsidRPr="005F0ABA">
        <w:rPr>
          <w:rFonts w:ascii="宋体" w:hAnsi="宋体" w:hint="eastAsia"/>
          <w:color w:val="000000" w:themeColor="text1"/>
          <w:sz w:val="24"/>
        </w:rPr>
        <w:t>法定代表人或授权代表：</w:t>
      </w:r>
      <w:r w:rsidRPr="005F0ABA">
        <w:rPr>
          <w:rFonts w:ascii="宋体" w:hAnsi="宋体"/>
          <w:color w:val="000000" w:themeColor="text1"/>
          <w:sz w:val="24"/>
        </w:rPr>
        <w:t xml:space="preserve">                   </w:t>
      </w:r>
    </w:p>
    <w:p w14:paraId="36D611ED" w14:textId="77777777" w:rsidR="003E6A3F" w:rsidRPr="005F0ABA" w:rsidRDefault="003E6A3F">
      <w:pPr>
        <w:spacing w:line="360" w:lineRule="auto"/>
        <w:ind w:right="26"/>
        <w:rPr>
          <w:rFonts w:ascii="宋体" w:hAnsi="宋体"/>
          <w:color w:val="000000" w:themeColor="text1"/>
          <w:sz w:val="24"/>
        </w:rPr>
      </w:pPr>
    </w:p>
    <w:p w14:paraId="4D7A877D" w14:textId="77777777" w:rsidR="003E6A3F" w:rsidRPr="005F0ABA" w:rsidRDefault="003E6A3F">
      <w:pPr>
        <w:spacing w:line="360" w:lineRule="auto"/>
        <w:ind w:right="26"/>
        <w:rPr>
          <w:rFonts w:ascii="宋体" w:hAnsi="宋体"/>
          <w:color w:val="000000" w:themeColor="text1"/>
          <w:sz w:val="24"/>
        </w:rPr>
      </w:pPr>
    </w:p>
    <w:p w14:paraId="70ACB0CE" w14:textId="77777777" w:rsidR="003E6A3F" w:rsidRPr="005F0ABA" w:rsidRDefault="003E6A3F">
      <w:pPr>
        <w:spacing w:line="360" w:lineRule="auto"/>
        <w:ind w:right="26"/>
        <w:rPr>
          <w:rFonts w:ascii="宋体" w:hAnsi="宋体"/>
          <w:color w:val="000000" w:themeColor="text1"/>
          <w:sz w:val="24"/>
        </w:rPr>
      </w:pPr>
    </w:p>
    <w:p w14:paraId="2C07CC58" w14:textId="77777777" w:rsidR="003E6A3F" w:rsidRPr="005F0ABA" w:rsidRDefault="003E6A3F">
      <w:pPr>
        <w:spacing w:line="360" w:lineRule="auto"/>
        <w:ind w:right="26"/>
        <w:rPr>
          <w:rFonts w:ascii="宋体" w:hAnsi="宋体"/>
          <w:color w:val="000000" w:themeColor="text1"/>
          <w:sz w:val="24"/>
        </w:rPr>
      </w:pPr>
    </w:p>
    <w:p w14:paraId="42370909" w14:textId="77777777" w:rsidR="003E6A3F" w:rsidRPr="005F0ABA" w:rsidRDefault="006E6B76">
      <w:pPr>
        <w:spacing w:line="360" w:lineRule="auto"/>
        <w:ind w:right="26"/>
        <w:rPr>
          <w:rFonts w:ascii="宋体" w:hAnsi="宋体"/>
          <w:color w:val="000000" w:themeColor="text1"/>
          <w:sz w:val="24"/>
        </w:rPr>
      </w:pPr>
      <w:r w:rsidRPr="005F0ABA">
        <w:rPr>
          <w:rFonts w:ascii="宋体" w:hAnsi="宋体" w:hint="eastAsia"/>
          <w:color w:val="000000" w:themeColor="text1"/>
          <w:sz w:val="24"/>
        </w:rPr>
        <w:t>基金托管人：中国建设银行股份有限公司（盖章）</w:t>
      </w:r>
    </w:p>
    <w:p w14:paraId="54627988" w14:textId="77777777" w:rsidR="003E6A3F" w:rsidRPr="005F0ABA" w:rsidRDefault="003E6A3F">
      <w:pPr>
        <w:spacing w:line="360" w:lineRule="auto"/>
        <w:ind w:right="26"/>
        <w:rPr>
          <w:rFonts w:ascii="宋体" w:hAnsi="宋体"/>
          <w:color w:val="000000" w:themeColor="text1"/>
          <w:sz w:val="24"/>
        </w:rPr>
      </w:pPr>
    </w:p>
    <w:p w14:paraId="60DD3963" w14:textId="77777777" w:rsidR="003E6A3F" w:rsidRPr="005F0ABA" w:rsidRDefault="003E6A3F">
      <w:pPr>
        <w:spacing w:line="360" w:lineRule="auto"/>
        <w:ind w:right="26"/>
        <w:rPr>
          <w:rFonts w:ascii="宋体" w:hAnsi="宋体"/>
          <w:color w:val="000000" w:themeColor="text1"/>
          <w:sz w:val="24"/>
        </w:rPr>
      </w:pPr>
    </w:p>
    <w:p w14:paraId="21EF62C8" w14:textId="77777777" w:rsidR="003E6A3F" w:rsidRPr="005F0ABA" w:rsidRDefault="006E6B76">
      <w:pPr>
        <w:spacing w:line="360" w:lineRule="auto"/>
        <w:ind w:right="26"/>
        <w:rPr>
          <w:rFonts w:ascii="宋体" w:hAnsi="宋体"/>
          <w:color w:val="000000" w:themeColor="text1"/>
          <w:sz w:val="24"/>
        </w:rPr>
      </w:pPr>
      <w:r w:rsidRPr="005F0ABA">
        <w:rPr>
          <w:rFonts w:ascii="宋体" w:hAnsi="宋体" w:hint="eastAsia"/>
          <w:color w:val="000000" w:themeColor="text1"/>
          <w:sz w:val="24"/>
        </w:rPr>
        <w:t>法定代表人或授权代表：</w:t>
      </w:r>
      <w:r w:rsidRPr="005F0ABA">
        <w:rPr>
          <w:rFonts w:ascii="宋体" w:hAnsi="宋体"/>
          <w:color w:val="000000" w:themeColor="text1"/>
          <w:sz w:val="24"/>
        </w:rPr>
        <w:t xml:space="preserve">                   </w:t>
      </w:r>
    </w:p>
    <w:p w14:paraId="77AD67FF" w14:textId="77777777" w:rsidR="003E6A3F" w:rsidRPr="005F0ABA" w:rsidRDefault="003E6A3F">
      <w:pPr>
        <w:spacing w:line="360" w:lineRule="auto"/>
        <w:ind w:right="26"/>
        <w:rPr>
          <w:rFonts w:ascii="宋体" w:hAnsi="宋体"/>
          <w:b/>
          <w:color w:val="000000" w:themeColor="text1"/>
          <w:sz w:val="24"/>
          <w:szCs w:val="28"/>
        </w:rPr>
      </w:pPr>
    </w:p>
    <w:p w14:paraId="527B9D91" w14:textId="77777777" w:rsidR="003E6A3F" w:rsidRPr="005F0ABA" w:rsidRDefault="003E6A3F">
      <w:pPr>
        <w:spacing w:line="360" w:lineRule="auto"/>
        <w:ind w:right="26"/>
        <w:rPr>
          <w:rFonts w:ascii="宋体" w:hAnsi="宋体"/>
          <w:b/>
          <w:color w:val="000000" w:themeColor="text1"/>
          <w:sz w:val="24"/>
          <w:szCs w:val="28"/>
        </w:rPr>
      </w:pPr>
    </w:p>
    <w:p w14:paraId="6B58AE4C" w14:textId="77777777" w:rsidR="003E6A3F" w:rsidRPr="005F0ABA" w:rsidRDefault="003E6A3F">
      <w:pPr>
        <w:spacing w:line="360" w:lineRule="auto"/>
        <w:ind w:right="26"/>
        <w:rPr>
          <w:rFonts w:ascii="宋体" w:hAnsi="宋体"/>
          <w:b/>
          <w:color w:val="000000" w:themeColor="text1"/>
          <w:sz w:val="24"/>
          <w:szCs w:val="28"/>
        </w:rPr>
      </w:pPr>
    </w:p>
    <w:p w14:paraId="442385A8" w14:textId="77777777" w:rsidR="003E6A3F" w:rsidRPr="005F0ABA" w:rsidRDefault="006E6B76">
      <w:pPr>
        <w:spacing w:line="360" w:lineRule="auto"/>
        <w:ind w:right="26"/>
        <w:rPr>
          <w:rFonts w:ascii="宋体" w:hAnsi="宋体"/>
          <w:b/>
          <w:color w:val="000000" w:themeColor="text1"/>
          <w:sz w:val="24"/>
          <w:szCs w:val="28"/>
        </w:rPr>
      </w:pPr>
      <w:r w:rsidRPr="005F0ABA">
        <w:rPr>
          <w:rFonts w:ascii="宋体" w:hAnsi="宋体" w:hint="eastAsia"/>
          <w:b/>
          <w:color w:val="000000" w:themeColor="text1"/>
          <w:sz w:val="24"/>
          <w:szCs w:val="28"/>
        </w:rPr>
        <w:t>签订地点：北京</w:t>
      </w:r>
    </w:p>
    <w:p w14:paraId="21CB552D" w14:textId="3A4568EC" w:rsidR="003E6A3F" w:rsidRPr="005F0ABA" w:rsidRDefault="006E6B76">
      <w:pPr>
        <w:spacing w:line="360" w:lineRule="auto"/>
        <w:ind w:right="26"/>
        <w:rPr>
          <w:rFonts w:ascii="宋体" w:hAnsi="宋体"/>
          <w:b/>
          <w:color w:val="000000" w:themeColor="text1"/>
          <w:sz w:val="24"/>
          <w:szCs w:val="28"/>
        </w:rPr>
      </w:pPr>
      <w:r w:rsidRPr="005F0ABA">
        <w:rPr>
          <w:rFonts w:ascii="宋体" w:hAnsi="宋体" w:hint="eastAsia"/>
          <w:b/>
          <w:color w:val="000000" w:themeColor="text1"/>
          <w:sz w:val="24"/>
          <w:szCs w:val="28"/>
        </w:rPr>
        <w:t>签</w:t>
      </w:r>
      <w:r w:rsidRPr="005F0ABA">
        <w:rPr>
          <w:rFonts w:ascii="宋体" w:hAnsi="宋体"/>
          <w:b/>
          <w:color w:val="000000" w:themeColor="text1"/>
          <w:sz w:val="24"/>
          <w:szCs w:val="28"/>
        </w:rPr>
        <w:t xml:space="preserve"> </w:t>
      </w:r>
      <w:r w:rsidRPr="005F0ABA">
        <w:rPr>
          <w:rFonts w:ascii="宋体" w:hAnsi="宋体" w:hint="eastAsia"/>
          <w:b/>
          <w:color w:val="000000" w:themeColor="text1"/>
          <w:sz w:val="24"/>
          <w:szCs w:val="28"/>
        </w:rPr>
        <w:t>订</w:t>
      </w:r>
      <w:r w:rsidRPr="005F0ABA">
        <w:rPr>
          <w:rFonts w:ascii="宋体" w:hAnsi="宋体"/>
          <w:b/>
          <w:color w:val="000000" w:themeColor="text1"/>
          <w:sz w:val="24"/>
          <w:szCs w:val="28"/>
        </w:rPr>
        <w:t xml:space="preserve"> </w:t>
      </w:r>
      <w:r w:rsidRPr="005F0ABA">
        <w:rPr>
          <w:rFonts w:ascii="宋体" w:hAnsi="宋体" w:hint="eastAsia"/>
          <w:b/>
          <w:color w:val="000000" w:themeColor="text1"/>
          <w:sz w:val="24"/>
          <w:szCs w:val="28"/>
        </w:rPr>
        <w:t>日：二零二</w:t>
      </w:r>
      <w:r w:rsidR="007F4624" w:rsidRPr="005F0ABA">
        <w:rPr>
          <w:rFonts w:ascii="宋体" w:hAnsi="宋体" w:cs="宋体" w:hint="eastAsia"/>
          <w:b/>
          <w:color w:val="000000" w:themeColor="text1"/>
          <w:sz w:val="24"/>
          <w:szCs w:val="28"/>
        </w:rPr>
        <w:t>六</w:t>
      </w:r>
      <w:r w:rsidRPr="005F0ABA">
        <w:rPr>
          <w:rFonts w:ascii="宋体" w:hAnsi="宋体" w:hint="eastAsia"/>
          <w:b/>
          <w:color w:val="000000" w:themeColor="text1"/>
          <w:sz w:val="24"/>
          <w:szCs w:val="28"/>
        </w:rPr>
        <w:t>年</w:t>
      </w:r>
      <w:r w:rsidRPr="005F0ABA">
        <w:rPr>
          <w:rFonts w:ascii="宋体" w:hAnsi="宋体" w:cs="宋体"/>
          <w:b/>
          <w:color w:val="000000" w:themeColor="text1"/>
          <w:sz w:val="24"/>
          <w:szCs w:val="28"/>
        </w:rPr>
        <w:t xml:space="preserve"> </w:t>
      </w:r>
      <w:r w:rsidRPr="005F0ABA">
        <w:rPr>
          <w:rFonts w:ascii="宋体" w:hAnsi="宋体" w:hint="eastAsia"/>
          <w:b/>
          <w:color w:val="000000" w:themeColor="text1"/>
          <w:sz w:val="24"/>
          <w:szCs w:val="28"/>
        </w:rPr>
        <w:t>月</w:t>
      </w:r>
      <w:r w:rsidRPr="005F0ABA">
        <w:rPr>
          <w:rFonts w:ascii="宋体" w:hAnsi="宋体" w:cs="宋体"/>
          <w:b/>
          <w:color w:val="000000" w:themeColor="text1"/>
          <w:sz w:val="24"/>
          <w:szCs w:val="28"/>
        </w:rPr>
        <w:t xml:space="preserve"> </w:t>
      </w:r>
      <w:r w:rsidRPr="005F0ABA">
        <w:rPr>
          <w:rFonts w:ascii="宋体" w:hAnsi="宋体" w:hint="eastAsia"/>
          <w:b/>
          <w:color w:val="000000" w:themeColor="text1"/>
          <w:sz w:val="24"/>
          <w:szCs w:val="28"/>
        </w:rPr>
        <w:t>日</w:t>
      </w:r>
    </w:p>
    <w:p w14:paraId="108F5C58" w14:textId="77777777" w:rsidR="003E6A3F" w:rsidRPr="005F0ABA" w:rsidRDefault="003E6A3F">
      <w:pPr>
        <w:adjustRightInd w:val="0"/>
        <w:snapToGrid w:val="0"/>
        <w:rPr>
          <w:rFonts w:ascii="彩虹粗仿宋" w:eastAsia="彩虹粗仿宋" w:hAnsi="宋体" w:cs="Arial"/>
          <w:color w:val="000000" w:themeColor="text1"/>
          <w:sz w:val="24"/>
        </w:rPr>
      </w:pPr>
    </w:p>
    <w:p w14:paraId="66D649E6" w14:textId="77777777" w:rsidR="003E6A3F" w:rsidRPr="005F0ABA" w:rsidRDefault="003E6A3F">
      <w:pPr>
        <w:rPr>
          <w:color w:val="000000" w:themeColor="text1"/>
        </w:rPr>
      </w:pPr>
    </w:p>
    <w:p w14:paraId="45DDE3A8" w14:textId="77777777" w:rsidR="003E6A3F" w:rsidRPr="005F0ABA" w:rsidRDefault="003E6A3F">
      <w:pPr>
        <w:rPr>
          <w:color w:val="000000" w:themeColor="text1"/>
        </w:rPr>
      </w:pPr>
    </w:p>
    <w:p w14:paraId="6C737B78" w14:textId="77777777" w:rsidR="003E6A3F" w:rsidRPr="005F0ABA" w:rsidRDefault="003E6A3F">
      <w:pPr>
        <w:rPr>
          <w:color w:val="000000" w:themeColor="text1"/>
        </w:rPr>
      </w:pPr>
    </w:p>
    <w:sectPr w:rsidR="003E6A3F" w:rsidRPr="005F0ABA">
      <w:headerReference w:type="default" r:id="rId31"/>
      <w:footerReference w:type="default" r:id="rId32"/>
      <w:pgSz w:w="11906" w:h="16838"/>
      <w:pgMar w:top="1418" w:right="1701" w:bottom="1418" w:left="1701"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BEF57C" w16cex:dateUtc="2024-04-08T14:59:00Z"/>
  <w16cex:commentExtensible w16cex:durableId="0B58D6FD" w16cex:dateUtc="2024-03-28T15:01:00Z"/>
  <w16cex:commentExtensible w16cex:durableId="07B7295A" w16cex:dateUtc="2024-03-28T15:38:00Z"/>
  <w16cex:commentExtensible w16cex:durableId="1C10FC42" w16cex:dateUtc="2024-03-28T15:39:00Z"/>
  <w16cex:commentExtensible w16cex:durableId="5F47EC5B" w16cex:dateUtc="2024-03-28T15:42:00Z"/>
  <w16cex:commentExtensible w16cex:durableId="29BEF6B6" w16cex:dateUtc="2024-04-08T15: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EB7FB2" w16cid:durableId="1B2BEBE0"/>
  <w16cid:commentId w16cid:paraId="2C80A094" w16cid:durableId="29BEF57C"/>
  <w16cid:commentId w16cid:paraId="1F976162" w16cid:durableId="040E7B2F"/>
  <w16cid:commentId w16cid:paraId="5FAFF71F" w16cid:durableId="29BEF51B"/>
  <w16cid:commentId w16cid:paraId="4A6C6951" w16cid:durableId="0B58D6FD"/>
  <w16cid:commentId w16cid:paraId="2A52674F" w16cid:durableId="5033F7F0"/>
  <w16cid:commentId w16cid:paraId="217C6F34" w16cid:durableId="080AC12B"/>
  <w16cid:commentId w16cid:paraId="1DAD47C8" w16cid:durableId="77FB38A6"/>
  <w16cid:commentId w16cid:paraId="29540113" w16cid:durableId="72A4AC19"/>
  <w16cid:commentId w16cid:paraId="5808742A" w16cid:durableId="63707159"/>
  <w16cid:commentId w16cid:paraId="5FF676AE" w16cid:durableId="7DFF7DC4"/>
  <w16cid:commentId w16cid:paraId="172576A8" w16cid:durableId="74DBB780"/>
  <w16cid:commentId w16cid:paraId="233E3362" w16cid:durableId="6B848A8D"/>
  <w16cid:commentId w16cid:paraId="4F9F0CDC" w16cid:durableId="18C3485F"/>
  <w16cid:commentId w16cid:paraId="26DE46F1" w16cid:durableId="7C87023E"/>
  <w16cid:commentId w16cid:paraId="2F43675C" w16cid:durableId="0CA08F3A"/>
  <w16cid:commentId w16cid:paraId="1FE37CDA" w16cid:durableId="36F3DC6F"/>
  <w16cid:commentId w16cid:paraId="0F885B03" w16cid:durableId="6D372BBA"/>
  <w16cid:commentId w16cid:paraId="562C1781" w16cid:durableId="5E80433B"/>
  <w16cid:commentId w16cid:paraId="4D9300D4" w16cid:durableId="762F9C2A"/>
  <w16cid:commentId w16cid:paraId="69423F22" w16cid:durableId="2452CBE5"/>
  <w16cid:commentId w16cid:paraId="60EBA0A4" w16cid:durableId="29BEF52D"/>
  <w16cid:commentId w16cid:paraId="28821BEB" w16cid:durableId="17B0A02B"/>
  <w16cid:commentId w16cid:paraId="4641C676" w16cid:durableId="29BEF52F"/>
  <w16cid:commentId w16cid:paraId="11172DF7" w16cid:durableId="02D9590D"/>
  <w16cid:commentId w16cid:paraId="64AB6DB0" w16cid:durableId="1B5A3921"/>
  <w16cid:commentId w16cid:paraId="50AD7F4B" w16cid:durableId="29BEF532"/>
  <w16cid:commentId w16cid:paraId="0EC93D51" w16cid:durableId="07A87C5A"/>
  <w16cid:commentId w16cid:paraId="774D0B94" w16cid:durableId="7C34A636"/>
  <w16cid:commentId w16cid:paraId="05B62CC2" w16cid:durableId="7F912F9E"/>
  <w16cid:commentId w16cid:paraId="43C52553" w16cid:durableId="4E334FF5"/>
  <w16cid:commentId w16cid:paraId="42493A7F" w16cid:durableId="6FB8FFC7"/>
  <w16cid:commentId w16cid:paraId="33B5C399" w16cid:durableId="29BEF538"/>
  <w16cid:commentId w16cid:paraId="7514F2AF" w16cid:durableId="29BEF539"/>
  <w16cid:commentId w16cid:paraId="39050075" w16cid:durableId="34AFE04E"/>
  <w16cid:commentId w16cid:paraId="63141B09" w16cid:durableId="619011C5"/>
  <w16cid:commentId w16cid:paraId="63414D1B" w16cid:durableId="17817004"/>
  <w16cid:commentId w16cid:paraId="37328ACD" w16cid:durableId="29BEF53D"/>
  <w16cid:commentId w16cid:paraId="5D0A0FC6" w16cid:durableId="29BEF53E"/>
  <w16cid:commentId w16cid:paraId="181F140D" w16cid:durableId="55067A99"/>
  <w16cid:commentId w16cid:paraId="4AE12789" w16cid:durableId="29BEF540"/>
  <w16cid:commentId w16cid:paraId="6BE9E037" w16cid:durableId="07B7295A"/>
  <w16cid:commentId w16cid:paraId="742AE864" w16cid:durableId="29BEF542"/>
  <w16cid:commentId w16cid:paraId="55F2CFE2" w16cid:durableId="29BEF543"/>
  <w16cid:commentId w16cid:paraId="1EB3122C" w16cid:durableId="29BEF544"/>
  <w16cid:commentId w16cid:paraId="35E5333C" w16cid:durableId="6F1B2D37"/>
  <w16cid:commentId w16cid:paraId="2E9D1C1B" w16cid:durableId="1C10FC42"/>
  <w16cid:commentId w16cid:paraId="139E750D" w16cid:durableId="6351ABA2"/>
  <w16cid:commentId w16cid:paraId="41A98BC7" w16cid:durableId="29BEF548"/>
  <w16cid:commentId w16cid:paraId="10670BFB" w16cid:durableId="7A457258"/>
  <w16cid:commentId w16cid:paraId="3E2D3D87" w16cid:durableId="4BB89E01"/>
  <w16cid:commentId w16cid:paraId="26CF3E9E" w16cid:durableId="3112C93F"/>
  <w16cid:commentId w16cid:paraId="171C1FA4" w16cid:durableId="231BD56B"/>
  <w16cid:commentId w16cid:paraId="510A199A" w16cid:durableId="29BEF54D"/>
  <w16cid:commentId w16cid:paraId="3D4C668E" w16cid:durableId="21130359"/>
  <w16cid:commentId w16cid:paraId="22700DC5" w16cid:durableId="38619305"/>
  <w16cid:commentId w16cid:paraId="2402350F" w16cid:durableId="5F47EC5B"/>
  <w16cid:commentId w16cid:paraId="1E3F059C" w16cid:durableId="5C7E527C"/>
  <w16cid:commentId w16cid:paraId="1AA834C3" w16cid:durableId="29BEF6B6"/>
  <w16cid:commentId w16cid:paraId="5AD95CD1" w16cid:durableId="6A351922"/>
  <w16cid:commentId w16cid:paraId="3DB879F5" w16cid:durableId="2ED601E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A21BD" w14:textId="77777777" w:rsidR="00755A48" w:rsidRDefault="00755A48">
      <w:r>
        <w:separator/>
      </w:r>
    </w:p>
  </w:endnote>
  <w:endnote w:type="continuationSeparator" w:id="0">
    <w:p w14:paraId="7FE9D07A" w14:textId="77777777" w:rsidR="00755A48" w:rsidRDefault="00755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仿宋简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
    <w:panose1 w:val="00000000000000000000"/>
    <w:charset w:val="00"/>
    <w:family w:val="roman"/>
    <w:notTrueType/>
    <w:pitch w:val="default"/>
  </w:font>
  <w:font w:name="彩虹粗仿宋">
    <w:altName w:val="Arial Unicode MS"/>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214389"/>
    </w:sdtPr>
    <w:sdtEndPr/>
    <w:sdtContent>
      <w:p w14:paraId="239CA64A" w14:textId="4817D904" w:rsidR="00BD699B" w:rsidRDefault="00BD699B">
        <w:pPr>
          <w:pStyle w:val="a8"/>
          <w:jc w:val="center"/>
        </w:pPr>
        <w:r>
          <w:fldChar w:fldCharType="begin"/>
        </w:r>
        <w:r>
          <w:instrText>PAGE   \* MERGEFORMAT</w:instrText>
        </w:r>
        <w:r>
          <w:fldChar w:fldCharType="separate"/>
        </w:r>
        <w:r w:rsidR="00C25EC0" w:rsidRPr="00C25EC0">
          <w:rPr>
            <w:noProof/>
            <w:lang w:val="zh-CN"/>
          </w:rPr>
          <w:t>2</w:t>
        </w:r>
        <w:r>
          <w:fldChar w:fldCharType="end"/>
        </w:r>
      </w:p>
    </w:sdtContent>
  </w:sdt>
  <w:p w14:paraId="4BA42865" w14:textId="77777777" w:rsidR="00BD699B" w:rsidRDefault="00BD699B">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4B2BB" w14:textId="77777777" w:rsidR="00BD699B" w:rsidRDefault="00BD699B">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04B1F" w14:textId="77777777" w:rsidR="00755A48" w:rsidRDefault="00755A48">
      <w:r>
        <w:separator/>
      </w:r>
    </w:p>
  </w:footnote>
  <w:footnote w:type="continuationSeparator" w:id="0">
    <w:p w14:paraId="14B028F2" w14:textId="77777777" w:rsidR="00755A48" w:rsidRDefault="00755A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9B60F" w14:textId="15595C25" w:rsidR="00BD699B" w:rsidRDefault="00BD699B">
    <w:pPr>
      <w:pStyle w:val="a9"/>
    </w:pPr>
    <w:proofErr w:type="gramStart"/>
    <w:r>
      <w:rPr>
        <w:rFonts w:hint="eastAsia"/>
      </w:rPr>
      <w:t>浦银裕鑫</w:t>
    </w:r>
    <w:proofErr w:type="gramEnd"/>
    <w:r>
      <w:rPr>
        <w:rFonts w:hint="eastAsia"/>
      </w:rPr>
      <w:t>120</w:t>
    </w:r>
    <w:r>
      <w:rPr>
        <w:rFonts w:hint="eastAsia"/>
      </w:rPr>
      <w:t>天持有期债券型证券投资基金</w:t>
    </w:r>
    <w:r>
      <w:rPr>
        <w:rFonts w:hint="eastAsia"/>
      </w:rPr>
      <w:t xml:space="preserve"> </w:t>
    </w:r>
    <w:r>
      <w:t xml:space="preserve">                               </w:t>
    </w:r>
    <w:r w:rsidR="005E053B">
      <w:t xml:space="preserve">          </w:t>
    </w:r>
    <w:r>
      <w:t xml:space="preserve"> </w:t>
    </w:r>
    <w:r>
      <w:rPr>
        <w:rFonts w:hint="eastAsia"/>
      </w:rPr>
      <w:t>托管协议</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3C79D" w14:textId="77777777" w:rsidR="00BD699B" w:rsidRDefault="00BD699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B88"/>
    <w:rsid w:val="B4D46717"/>
    <w:rsid w:val="000010FB"/>
    <w:rsid w:val="000029C3"/>
    <w:rsid w:val="00013074"/>
    <w:rsid w:val="000139D4"/>
    <w:rsid w:val="000169F2"/>
    <w:rsid w:val="00021E92"/>
    <w:rsid w:val="00022758"/>
    <w:rsid w:val="00025F2A"/>
    <w:rsid w:val="000312E8"/>
    <w:rsid w:val="00033263"/>
    <w:rsid w:val="00044ED0"/>
    <w:rsid w:val="0005089E"/>
    <w:rsid w:val="00054BA6"/>
    <w:rsid w:val="00062EC3"/>
    <w:rsid w:val="0006789D"/>
    <w:rsid w:val="00076C3C"/>
    <w:rsid w:val="0009195B"/>
    <w:rsid w:val="000A01D6"/>
    <w:rsid w:val="000A0F51"/>
    <w:rsid w:val="000A573B"/>
    <w:rsid w:val="000A73DE"/>
    <w:rsid w:val="000B6DE7"/>
    <w:rsid w:val="000B7D7C"/>
    <w:rsid w:val="000C1A38"/>
    <w:rsid w:val="000C2BE8"/>
    <w:rsid w:val="000C2D8E"/>
    <w:rsid w:val="000E0D34"/>
    <w:rsid w:val="000E53CF"/>
    <w:rsid w:val="000F067C"/>
    <w:rsid w:val="000F1CFC"/>
    <w:rsid w:val="000F47E8"/>
    <w:rsid w:val="00101A2B"/>
    <w:rsid w:val="0010492C"/>
    <w:rsid w:val="001224BA"/>
    <w:rsid w:val="001340B8"/>
    <w:rsid w:val="001362F0"/>
    <w:rsid w:val="001514D5"/>
    <w:rsid w:val="00157EDD"/>
    <w:rsid w:val="00176844"/>
    <w:rsid w:val="001802C2"/>
    <w:rsid w:val="00195CE6"/>
    <w:rsid w:val="001A2958"/>
    <w:rsid w:val="001A36F8"/>
    <w:rsid w:val="001B2F02"/>
    <w:rsid w:val="001C5903"/>
    <w:rsid w:val="001D2416"/>
    <w:rsid w:val="001D25F5"/>
    <w:rsid w:val="001D359D"/>
    <w:rsid w:val="001E57EC"/>
    <w:rsid w:val="001F0EC3"/>
    <w:rsid w:val="001F192C"/>
    <w:rsid w:val="00211A8F"/>
    <w:rsid w:val="00211C00"/>
    <w:rsid w:val="00213A92"/>
    <w:rsid w:val="00220DB8"/>
    <w:rsid w:val="0022614C"/>
    <w:rsid w:val="00232A3D"/>
    <w:rsid w:val="002414B4"/>
    <w:rsid w:val="00247746"/>
    <w:rsid w:val="00251FF8"/>
    <w:rsid w:val="002520D6"/>
    <w:rsid w:val="002538C2"/>
    <w:rsid w:val="0025550C"/>
    <w:rsid w:val="00266D81"/>
    <w:rsid w:val="00267734"/>
    <w:rsid w:val="002878AD"/>
    <w:rsid w:val="00293F70"/>
    <w:rsid w:val="002C119D"/>
    <w:rsid w:val="002C3FDD"/>
    <w:rsid w:val="002D200B"/>
    <w:rsid w:val="002D49EF"/>
    <w:rsid w:val="002D56CB"/>
    <w:rsid w:val="002E0329"/>
    <w:rsid w:val="002E1C4F"/>
    <w:rsid w:val="002E52C1"/>
    <w:rsid w:val="002E625D"/>
    <w:rsid w:val="002F017A"/>
    <w:rsid w:val="002F2127"/>
    <w:rsid w:val="002F71BB"/>
    <w:rsid w:val="00331083"/>
    <w:rsid w:val="003311E5"/>
    <w:rsid w:val="003337CE"/>
    <w:rsid w:val="00340DDF"/>
    <w:rsid w:val="00354909"/>
    <w:rsid w:val="00372368"/>
    <w:rsid w:val="00382699"/>
    <w:rsid w:val="00382AEE"/>
    <w:rsid w:val="00393BBB"/>
    <w:rsid w:val="003A5005"/>
    <w:rsid w:val="003A730D"/>
    <w:rsid w:val="003B2BED"/>
    <w:rsid w:val="003B6712"/>
    <w:rsid w:val="003B7A4F"/>
    <w:rsid w:val="003D054C"/>
    <w:rsid w:val="003E5CDF"/>
    <w:rsid w:val="003E6A3F"/>
    <w:rsid w:val="003E7A09"/>
    <w:rsid w:val="003F63B1"/>
    <w:rsid w:val="00406457"/>
    <w:rsid w:val="004102B6"/>
    <w:rsid w:val="00415DEF"/>
    <w:rsid w:val="00417FB3"/>
    <w:rsid w:val="00424BF3"/>
    <w:rsid w:val="004328A6"/>
    <w:rsid w:val="004339D7"/>
    <w:rsid w:val="00434482"/>
    <w:rsid w:val="00442C51"/>
    <w:rsid w:val="00454493"/>
    <w:rsid w:val="0045689C"/>
    <w:rsid w:val="00461D06"/>
    <w:rsid w:val="00465427"/>
    <w:rsid w:val="0047231A"/>
    <w:rsid w:val="004816C0"/>
    <w:rsid w:val="00493D80"/>
    <w:rsid w:val="00495627"/>
    <w:rsid w:val="00497FD4"/>
    <w:rsid w:val="004A2C24"/>
    <w:rsid w:val="004A4AF6"/>
    <w:rsid w:val="004A591C"/>
    <w:rsid w:val="004B024C"/>
    <w:rsid w:val="004E68B1"/>
    <w:rsid w:val="004E6D69"/>
    <w:rsid w:val="00501836"/>
    <w:rsid w:val="00507165"/>
    <w:rsid w:val="00521940"/>
    <w:rsid w:val="00522D12"/>
    <w:rsid w:val="005277B8"/>
    <w:rsid w:val="00535312"/>
    <w:rsid w:val="00541DBE"/>
    <w:rsid w:val="005530A9"/>
    <w:rsid w:val="005546F2"/>
    <w:rsid w:val="00564674"/>
    <w:rsid w:val="00566F1E"/>
    <w:rsid w:val="0057793D"/>
    <w:rsid w:val="005962BB"/>
    <w:rsid w:val="005A0346"/>
    <w:rsid w:val="005B7545"/>
    <w:rsid w:val="005E053B"/>
    <w:rsid w:val="005E1719"/>
    <w:rsid w:val="005E1D53"/>
    <w:rsid w:val="005F0ABA"/>
    <w:rsid w:val="00603B88"/>
    <w:rsid w:val="00604A9C"/>
    <w:rsid w:val="006120A4"/>
    <w:rsid w:val="00615866"/>
    <w:rsid w:val="006171DF"/>
    <w:rsid w:val="00621B7D"/>
    <w:rsid w:val="00622D6B"/>
    <w:rsid w:val="00624ACE"/>
    <w:rsid w:val="00624E60"/>
    <w:rsid w:val="00631A2B"/>
    <w:rsid w:val="00636B58"/>
    <w:rsid w:val="00636D19"/>
    <w:rsid w:val="0065049F"/>
    <w:rsid w:val="00676405"/>
    <w:rsid w:val="00677F42"/>
    <w:rsid w:val="00686483"/>
    <w:rsid w:val="00687DBC"/>
    <w:rsid w:val="00694759"/>
    <w:rsid w:val="006A3F24"/>
    <w:rsid w:val="006B05D5"/>
    <w:rsid w:val="006B0855"/>
    <w:rsid w:val="006B2263"/>
    <w:rsid w:val="006B27C1"/>
    <w:rsid w:val="006B34D9"/>
    <w:rsid w:val="006B6273"/>
    <w:rsid w:val="006C06B0"/>
    <w:rsid w:val="006C44EB"/>
    <w:rsid w:val="006C5C1D"/>
    <w:rsid w:val="006D0816"/>
    <w:rsid w:val="006D72B9"/>
    <w:rsid w:val="006E37A3"/>
    <w:rsid w:val="006E6B76"/>
    <w:rsid w:val="006F054D"/>
    <w:rsid w:val="006F2C7C"/>
    <w:rsid w:val="006F42C4"/>
    <w:rsid w:val="006F470A"/>
    <w:rsid w:val="006F710F"/>
    <w:rsid w:val="007023E7"/>
    <w:rsid w:val="00707432"/>
    <w:rsid w:val="00716B18"/>
    <w:rsid w:val="007170D8"/>
    <w:rsid w:val="007233E0"/>
    <w:rsid w:val="00724A58"/>
    <w:rsid w:val="00724BAB"/>
    <w:rsid w:val="00750216"/>
    <w:rsid w:val="0075466F"/>
    <w:rsid w:val="00755A48"/>
    <w:rsid w:val="00756F38"/>
    <w:rsid w:val="00764278"/>
    <w:rsid w:val="00771AB3"/>
    <w:rsid w:val="00771B88"/>
    <w:rsid w:val="00780213"/>
    <w:rsid w:val="00793B25"/>
    <w:rsid w:val="007A31F5"/>
    <w:rsid w:val="007A6567"/>
    <w:rsid w:val="007B1D79"/>
    <w:rsid w:val="007B79D4"/>
    <w:rsid w:val="007C7327"/>
    <w:rsid w:val="007C766B"/>
    <w:rsid w:val="007D3063"/>
    <w:rsid w:val="007D5CF8"/>
    <w:rsid w:val="007E2216"/>
    <w:rsid w:val="007E705A"/>
    <w:rsid w:val="007E75A4"/>
    <w:rsid w:val="007F1C5A"/>
    <w:rsid w:val="007F4624"/>
    <w:rsid w:val="00803845"/>
    <w:rsid w:val="00805579"/>
    <w:rsid w:val="00814DBF"/>
    <w:rsid w:val="00824940"/>
    <w:rsid w:val="008255D8"/>
    <w:rsid w:val="0082730B"/>
    <w:rsid w:val="008355FC"/>
    <w:rsid w:val="0084091C"/>
    <w:rsid w:val="008459FB"/>
    <w:rsid w:val="008574C9"/>
    <w:rsid w:val="00862F76"/>
    <w:rsid w:val="0086692B"/>
    <w:rsid w:val="00877098"/>
    <w:rsid w:val="00890708"/>
    <w:rsid w:val="00894611"/>
    <w:rsid w:val="0089703C"/>
    <w:rsid w:val="00897116"/>
    <w:rsid w:val="008A1422"/>
    <w:rsid w:val="008B3710"/>
    <w:rsid w:val="008B4BB8"/>
    <w:rsid w:val="008C7371"/>
    <w:rsid w:val="008D53C8"/>
    <w:rsid w:val="008E4387"/>
    <w:rsid w:val="008F0558"/>
    <w:rsid w:val="008F0570"/>
    <w:rsid w:val="008F12B0"/>
    <w:rsid w:val="008F664A"/>
    <w:rsid w:val="00905667"/>
    <w:rsid w:val="0092441A"/>
    <w:rsid w:val="00932B0A"/>
    <w:rsid w:val="00940D5E"/>
    <w:rsid w:val="00943F50"/>
    <w:rsid w:val="00946626"/>
    <w:rsid w:val="00946DFB"/>
    <w:rsid w:val="0094776D"/>
    <w:rsid w:val="009574B0"/>
    <w:rsid w:val="00964643"/>
    <w:rsid w:val="0097349C"/>
    <w:rsid w:val="00977DE8"/>
    <w:rsid w:val="00981AEC"/>
    <w:rsid w:val="00997679"/>
    <w:rsid w:val="009A18FA"/>
    <w:rsid w:val="009A70BF"/>
    <w:rsid w:val="009C2AF9"/>
    <w:rsid w:val="009D0EB6"/>
    <w:rsid w:val="009D3716"/>
    <w:rsid w:val="009D52C1"/>
    <w:rsid w:val="009F2496"/>
    <w:rsid w:val="009F42DF"/>
    <w:rsid w:val="00A11891"/>
    <w:rsid w:val="00A13EBD"/>
    <w:rsid w:val="00A20DD0"/>
    <w:rsid w:val="00A239AB"/>
    <w:rsid w:val="00A27577"/>
    <w:rsid w:val="00A2786C"/>
    <w:rsid w:val="00A27AC5"/>
    <w:rsid w:val="00A41968"/>
    <w:rsid w:val="00A479D2"/>
    <w:rsid w:val="00A605F1"/>
    <w:rsid w:val="00A61741"/>
    <w:rsid w:val="00A65F9E"/>
    <w:rsid w:val="00A73EDE"/>
    <w:rsid w:val="00A75AB9"/>
    <w:rsid w:val="00A80651"/>
    <w:rsid w:val="00A81214"/>
    <w:rsid w:val="00A84B3C"/>
    <w:rsid w:val="00A902D6"/>
    <w:rsid w:val="00AA672C"/>
    <w:rsid w:val="00AA76CB"/>
    <w:rsid w:val="00AB36B6"/>
    <w:rsid w:val="00AC61DF"/>
    <w:rsid w:val="00AD3A0B"/>
    <w:rsid w:val="00AE0509"/>
    <w:rsid w:val="00AE18B2"/>
    <w:rsid w:val="00B0014C"/>
    <w:rsid w:val="00B07E99"/>
    <w:rsid w:val="00B17E33"/>
    <w:rsid w:val="00B26E05"/>
    <w:rsid w:val="00B273A5"/>
    <w:rsid w:val="00B32E75"/>
    <w:rsid w:val="00B33FB4"/>
    <w:rsid w:val="00B73218"/>
    <w:rsid w:val="00B7560B"/>
    <w:rsid w:val="00B75BD9"/>
    <w:rsid w:val="00B82DB0"/>
    <w:rsid w:val="00B9716D"/>
    <w:rsid w:val="00BA12CE"/>
    <w:rsid w:val="00BA2675"/>
    <w:rsid w:val="00BA3577"/>
    <w:rsid w:val="00BB22DD"/>
    <w:rsid w:val="00BD699B"/>
    <w:rsid w:val="00BE3D92"/>
    <w:rsid w:val="00C10737"/>
    <w:rsid w:val="00C158CC"/>
    <w:rsid w:val="00C23867"/>
    <w:rsid w:val="00C23E6E"/>
    <w:rsid w:val="00C25EC0"/>
    <w:rsid w:val="00C306C5"/>
    <w:rsid w:val="00C30BC0"/>
    <w:rsid w:val="00C33E73"/>
    <w:rsid w:val="00C33F91"/>
    <w:rsid w:val="00C361A1"/>
    <w:rsid w:val="00C462EF"/>
    <w:rsid w:val="00C64E93"/>
    <w:rsid w:val="00C710CE"/>
    <w:rsid w:val="00C7480E"/>
    <w:rsid w:val="00C75E93"/>
    <w:rsid w:val="00C81E25"/>
    <w:rsid w:val="00C94D1F"/>
    <w:rsid w:val="00CA0E40"/>
    <w:rsid w:val="00CA0F9C"/>
    <w:rsid w:val="00CA2302"/>
    <w:rsid w:val="00CA7EFB"/>
    <w:rsid w:val="00CB3600"/>
    <w:rsid w:val="00CD0929"/>
    <w:rsid w:val="00CE0D1E"/>
    <w:rsid w:val="00CE5914"/>
    <w:rsid w:val="00CF2F2B"/>
    <w:rsid w:val="00D01C57"/>
    <w:rsid w:val="00D209D8"/>
    <w:rsid w:val="00D370EA"/>
    <w:rsid w:val="00D413F2"/>
    <w:rsid w:val="00D5404E"/>
    <w:rsid w:val="00D7768D"/>
    <w:rsid w:val="00D839EB"/>
    <w:rsid w:val="00D858D9"/>
    <w:rsid w:val="00D8756A"/>
    <w:rsid w:val="00D87DCE"/>
    <w:rsid w:val="00D96681"/>
    <w:rsid w:val="00DA0BA3"/>
    <w:rsid w:val="00DA45BD"/>
    <w:rsid w:val="00DC0921"/>
    <w:rsid w:val="00DC0F77"/>
    <w:rsid w:val="00DD12A7"/>
    <w:rsid w:val="00DD2777"/>
    <w:rsid w:val="00DE1C85"/>
    <w:rsid w:val="00DE5097"/>
    <w:rsid w:val="00DE7DC0"/>
    <w:rsid w:val="00E0264C"/>
    <w:rsid w:val="00E07BF6"/>
    <w:rsid w:val="00E13888"/>
    <w:rsid w:val="00E1564E"/>
    <w:rsid w:val="00E202A8"/>
    <w:rsid w:val="00E2172E"/>
    <w:rsid w:val="00E21DBF"/>
    <w:rsid w:val="00E332C9"/>
    <w:rsid w:val="00E47E9D"/>
    <w:rsid w:val="00E5336F"/>
    <w:rsid w:val="00E53597"/>
    <w:rsid w:val="00E5658C"/>
    <w:rsid w:val="00E73101"/>
    <w:rsid w:val="00E7438E"/>
    <w:rsid w:val="00E74A96"/>
    <w:rsid w:val="00E906D4"/>
    <w:rsid w:val="00E91787"/>
    <w:rsid w:val="00EB4ED6"/>
    <w:rsid w:val="00EC385D"/>
    <w:rsid w:val="00EC6695"/>
    <w:rsid w:val="00ED1101"/>
    <w:rsid w:val="00ED6606"/>
    <w:rsid w:val="00ED6FC7"/>
    <w:rsid w:val="00EE1894"/>
    <w:rsid w:val="00EE62F1"/>
    <w:rsid w:val="00EF0C89"/>
    <w:rsid w:val="00EF5004"/>
    <w:rsid w:val="00EF7983"/>
    <w:rsid w:val="00F0069F"/>
    <w:rsid w:val="00F006F1"/>
    <w:rsid w:val="00F17D8C"/>
    <w:rsid w:val="00F24807"/>
    <w:rsid w:val="00F27A21"/>
    <w:rsid w:val="00F307CC"/>
    <w:rsid w:val="00F33477"/>
    <w:rsid w:val="00F34435"/>
    <w:rsid w:val="00F5517E"/>
    <w:rsid w:val="00F55F7B"/>
    <w:rsid w:val="00F56BFE"/>
    <w:rsid w:val="00F601DD"/>
    <w:rsid w:val="00F73361"/>
    <w:rsid w:val="00F85678"/>
    <w:rsid w:val="00F86C54"/>
    <w:rsid w:val="00F87AC8"/>
    <w:rsid w:val="00FA164D"/>
    <w:rsid w:val="00FA2BFB"/>
    <w:rsid w:val="00FB044B"/>
    <w:rsid w:val="00FB0C6F"/>
    <w:rsid w:val="00FB4E71"/>
    <w:rsid w:val="00FD2DEB"/>
    <w:rsid w:val="00FE2817"/>
    <w:rsid w:val="00FE4D53"/>
    <w:rsid w:val="16F77146"/>
    <w:rsid w:val="17C81193"/>
    <w:rsid w:val="3FEF88BA"/>
    <w:rsid w:val="7FFE0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02F323"/>
  <w15:docId w15:val="{C9EE88A4-0DEE-4908-959D-B426A7190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等线"/>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qFormat="1"/>
    <w:lsdException w:name="toc 8" w:semiHidden="1" w:uiPriority="0" w:unhideWhenUsed="1"/>
    <w:lsdException w:name="toc 9" w:semiHidden="1" w:uiPriority="0" w:unhideWhenUsed="1"/>
    <w:lsdException w:name="Normal Indent" w:uiPriority="0" w:unhideWhenUsed="1"/>
    <w:lsdException w:name="footnote text" w:semiHidden="1" w:unhideWhenUsed="1"/>
    <w:lsdException w:name="annotation text" w:uiPriority="0" w:unhideWhenUsed="1" w:qFormat="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unhideWhenUsed="1"/>
    <w:lsdException w:name="Body Text Indent 3" w:uiPriority="0" w:unhideWhenUsed="1"/>
    <w:lsdException w:name="Block Text" w:semiHidden="1" w:unhideWhenUsed="1"/>
    <w:lsdException w:name="Hyperlink" w:uiPriority="0"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0"/>
    <w:link w:val="22"/>
    <w:qFormat/>
    <w:pPr>
      <w:keepNext/>
      <w:keepLines/>
      <w:spacing w:before="260" w:after="260" w:line="416" w:lineRule="auto"/>
      <w:outlineLvl w:val="1"/>
    </w:pPr>
    <w:rPr>
      <w:rFonts w:ascii="Arial" w:eastAsia="黑体" w:hAnsi="Arial"/>
      <w:b/>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firstLineChars="200" w:firstLine="420"/>
    </w:pPr>
  </w:style>
  <w:style w:type="paragraph" w:styleId="7">
    <w:name w:val="toc 7"/>
    <w:basedOn w:val="a"/>
    <w:next w:val="a"/>
    <w:semiHidden/>
    <w:qFormat/>
    <w:pPr>
      <w:ind w:leftChars="1200" w:left="2520"/>
    </w:pPr>
  </w:style>
  <w:style w:type="paragraph" w:styleId="a4">
    <w:name w:val="annotation text"/>
    <w:basedOn w:val="a"/>
    <w:link w:val="20"/>
    <w:qFormat/>
    <w:pPr>
      <w:jc w:val="left"/>
    </w:pPr>
  </w:style>
  <w:style w:type="paragraph" w:styleId="a5">
    <w:name w:val="Body Text"/>
    <w:basedOn w:val="a"/>
    <w:link w:val="21"/>
    <w:pPr>
      <w:spacing w:line="360" w:lineRule="auto"/>
    </w:pPr>
    <w:rPr>
      <w:rFonts w:ascii="仿宋_GB2312" w:eastAsia="仿宋_GB2312"/>
      <w:color w:val="000000"/>
      <w:kern w:val="0"/>
      <w:sz w:val="24"/>
      <w:szCs w:val="28"/>
    </w:rPr>
  </w:style>
  <w:style w:type="paragraph" w:styleId="a6">
    <w:name w:val="Body Text Indent"/>
    <w:basedOn w:val="a"/>
    <w:link w:val="23"/>
    <w:pPr>
      <w:adjustRightInd w:val="0"/>
      <w:snapToGrid w:val="0"/>
      <w:spacing w:line="560" w:lineRule="exact"/>
      <w:ind w:firstLineChars="200" w:firstLine="480"/>
    </w:pPr>
    <w:rPr>
      <w:rFonts w:eastAsia="方正仿宋简体"/>
      <w:sz w:val="24"/>
      <w:szCs w:val="30"/>
    </w:rPr>
  </w:style>
  <w:style w:type="paragraph" w:styleId="5">
    <w:name w:val="toc 5"/>
    <w:basedOn w:val="a"/>
    <w:next w:val="a"/>
    <w:semiHidden/>
    <w:pPr>
      <w:ind w:leftChars="800" w:left="1680"/>
    </w:pPr>
  </w:style>
  <w:style w:type="paragraph" w:styleId="3">
    <w:name w:val="toc 3"/>
    <w:basedOn w:val="a"/>
    <w:next w:val="a"/>
    <w:semiHidden/>
    <w:pPr>
      <w:ind w:leftChars="400" w:left="840"/>
    </w:pPr>
  </w:style>
  <w:style w:type="paragraph" w:styleId="8">
    <w:name w:val="toc 8"/>
    <w:basedOn w:val="a"/>
    <w:next w:val="a"/>
    <w:semiHidden/>
    <w:pPr>
      <w:ind w:leftChars="1400" w:left="2940"/>
    </w:pPr>
  </w:style>
  <w:style w:type="paragraph" w:styleId="24">
    <w:name w:val="Body Text Indent 2"/>
    <w:basedOn w:val="a"/>
    <w:link w:val="220"/>
    <w:pPr>
      <w:spacing w:line="360" w:lineRule="auto"/>
      <w:ind w:firstLine="525"/>
    </w:pPr>
    <w:rPr>
      <w:rFonts w:ascii="宋体" w:hAnsi="宋体"/>
      <w:sz w:val="28"/>
      <w:szCs w:val="20"/>
    </w:rPr>
  </w:style>
  <w:style w:type="paragraph" w:styleId="a7">
    <w:name w:val="Balloon Text"/>
    <w:basedOn w:val="a"/>
    <w:link w:val="25"/>
    <w:semiHidden/>
    <w:qFormat/>
    <w:rPr>
      <w:sz w:val="18"/>
      <w:szCs w:val="18"/>
    </w:rPr>
  </w:style>
  <w:style w:type="paragraph" w:styleId="a8">
    <w:name w:val="footer"/>
    <w:basedOn w:val="a"/>
    <w:link w:val="26"/>
    <w:uiPriority w:val="99"/>
    <w:unhideWhenUsed/>
    <w:pPr>
      <w:tabs>
        <w:tab w:val="center" w:pos="4153"/>
        <w:tab w:val="right" w:pos="8306"/>
      </w:tabs>
      <w:snapToGrid w:val="0"/>
      <w:jc w:val="left"/>
    </w:pPr>
    <w:rPr>
      <w:sz w:val="18"/>
      <w:szCs w:val="18"/>
    </w:rPr>
  </w:style>
  <w:style w:type="paragraph" w:styleId="a9">
    <w:name w:val="header"/>
    <w:basedOn w:val="a"/>
    <w:link w:val="27"/>
    <w:unhideWhenUsed/>
    <w:pPr>
      <w:pBdr>
        <w:bottom w:val="single" w:sz="6" w:space="1" w:color="auto"/>
      </w:pBdr>
      <w:tabs>
        <w:tab w:val="center" w:pos="4153"/>
        <w:tab w:val="right" w:pos="8306"/>
      </w:tabs>
      <w:snapToGrid w:val="0"/>
      <w:jc w:val="center"/>
    </w:pPr>
    <w:rPr>
      <w:sz w:val="18"/>
      <w:szCs w:val="18"/>
    </w:rPr>
  </w:style>
  <w:style w:type="paragraph" w:styleId="1">
    <w:name w:val="toc 1"/>
    <w:basedOn w:val="a"/>
    <w:next w:val="a"/>
    <w:semiHidden/>
  </w:style>
  <w:style w:type="paragraph" w:styleId="4">
    <w:name w:val="toc 4"/>
    <w:basedOn w:val="a"/>
    <w:next w:val="a"/>
    <w:semiHidden/>
    <w:pPr>
      <w:ind w:leftChars="600" w:left="1260"/>
    </w:pPr>
  </w:style>
  <w:style w:type="paragraph" w:styleId="6">
    <w:name w:val="toc 6"/>
    <w:basedOn w:val="a"/>
    <w:next w:val="a"/>
    <w:semiHidden/>
    <w:pPr>
      <w:ind w:leftChars="1000" w:left="2100"/>
    </w:pPr>
  </w:style>
  <w:style w:type="paragraph" w:styleId="30">
    <w:name w:val="Body Text Indent 3"/>
    <w:basedOn w:val="a"/>
    <w:link w:val="32"/>
    <w:pPr>
      <w:adjustRightInd w:val="0"/>
      <w:snapToGrid w:val="0"/>
      <w:ind w:firstLineChars="200" w:firstLine="480"/>
    </w:pPr>
    <w:rPr>
      <w:rFonts w:ascii="仿宋_GB2312" w:eastAsia="仿宋_GB2312" w:hAnsi="宋体" w:cs="Arial"/>
      <w:color w:val="000000"/>
      <w:sz w:val="24"/>
    </w:rPr>
  </w:style>
  <w:style w:type="paragraph" w:styleId="28">
    <w:name w:val="toc 2"/>
    <w:basedOn w:val="a"/>
    <w:next w:val="a"/>
    <w:semiHidden/>
    <w:pPr>
      <w:tabs>
        <w:tab w:val="right" w:leader="dot" w:pos="8494"/>
      </w:tabs>
      <w:spacing w:line="360" w:lineRule="auto"/>
      <w:ind w:leftChars="200" w:left="420"/>
    </w:pPr>
  </w:style>
  <w:style w:type="paragraph" w:styleId="9">
    <w:name w:val="toc 9"/>
    <w:basedOn w:val="a"/>
    <w:next w:val="a"/>
    <w:semiHidden/>
    <w:pPr>
      <w:ind w:leftChars="1600" w:left="3360"/>
    </w:pPr>
  </w:style>
  <w:style w:type="paragraph" w:styleId="HTML">
    <w:name w:val="HTML Preformatted"/>
    <w:basedOn w:val="a"/>
    <w:link w:val="HTML2"/>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a">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styleId="ab">
    <w:name w:val="annotation subject"/>
    <w:basedOn w:val="a4"/>
    <w:next w:val="a4"/>
    <w:link w:val="29"/>
    <w:rPr>
      <w:b/>
      <w:bCs/>
    </w:rPr>
  </w:style>
  <w:style w:type="character" w:styleId="ac">
    <w:name w:val="Strong"/>
    <w:qFormat/>
    <w:rPr>
      <w:b/>
      <w:bCs/>
    </w:rPr>
  </w:style>
  <w:style w:type="character" w:styleId="ad">
    <w:name w:val="page number"/>
    <w:basedOn w:val="a1"/>
  </w:style>
  <w:style w:type="character" w:styleId="ae">
    <w:name w:val="FollowedHyperlink"/>
    <w:basedOn w:val="a1"/>
    <w:uiPriority w:val="99"/>
    <w:semiHidden/>
    <w:unhideWhenUsed/>
    <w:qFormat/>
    <w:rPr>
      <w:color w:val="954F72" w:themeColor="followedHyperlink"/>
      <w:u w:val="single"/>
    </w:rPr>
  </w:style>
  <w:style w:type="character" w:styleId="af">
    <w:name w:val="Emphasis"/>
    <w:basedOn w:val="a1"/>
    <w:uiPriority w:val="20"/>
    <w:qFormat/>
    <w:rPr>
      <w:i/>
      <w:iCs/>
    </w:rPr>
  </w:style>
  <w:style w:type="character" w:styleId="af0">
    <w:name w:val="Hyperlink"/>
    <w:rPr>
      <w:color w:val="0000FF"/>
      <w:u w:val="single"/>
    </w:rPr>
  </w:style>
  <w:style w:type="character" w:styleId="af1">
    <w:name w:val="annotation reference"/>
    <w:qFormat/>
    <w:rPr>
      <w:sz w:val="21"/>
      <w:szCs w:val="21"/>
    </w:rPr>
  </w:style>
  <w:style w:type="character" w:customStyle="1" w:styleId="2a">
    <w:name w:val="标题 2 字符"/>
    <w:basedOn w:val="a1"/>
    <w:uiPriority w:val="9"/>
    <w:semiHidden/>
    <w:rPr>
      <w:rFonts w:asciiTheme="majorHAnsi" w:eastAsiaTheme="majorEastAsia" w:hAnsiTheme="majorHAnsi" w:cstheme="majorBidi"/>
      <w:b/>
      <w:bCs/>
      <w:sz w:val="32"/>
      <w:szCs w:val="32"/>
    </w:rPr>
  </w:style>
  <w:style w:type="character" w:customStyle="1" w:styleId="af2">
    <w:name w:val="页眉 字符"/>
    <w:basedOn w:val="a1"/>
    <w:uiPriority w:val="99"/>
    <w:semiHidden/>
    <w:rPr>
      <w:rFonts w:ascii="Times New Roman" w:eastAsia="宋体" w:hAnsi="Times New Roman" w:cs="Times New Roman"/>
      <w:sz w:val="18"/>
      <w:szCs w:val="18"/>
    </w:rPr>
  </w:style>
  <w:style w:type="character" w:customStyle="1" w:styleId="27">
    <w:name w:val="页眉 字符2"/>
    <w:link w:val="a9"/>
    <w:rPr>
      <w:rFonts w:ascii="Times New Roman" w:eastAsia="宋体" w:hAnsi="Times New Roman" w:cs="Times New Roman"/>
      <w:sz w:val="18"/>
      <w:szCs w:val="18"/>
    </w:rPr>
  </w:style>
  <w:style w:type="character" w:customStyle="1" w:styleId="af3">
    <w:name w:val="页脚 字符"/>
    <w:basedOn w:val="a1"/>
    <w:uiPriority w:val="99"/>
    <w:semiHidden/>
    <w:rPr>
      <w:rFonts w:ascii="Times New Roman" w:eastAsia="宋体" w:hAnsi="Times New Roman" w:cs="Times New Roman"/>
      <w:sz w:val="18"/>
      <w:szCs w:val="18"/>
    </w:rPr>
  </w:style>
  <w:style w:type="character" w:customStyle="1" w:styleId="26">
    <w:name w:val="页脚 字符2"/>
    <w:link w:val="a8"/>
    <w:uiPriority w:val="99"/>
    <w:rPr>
      <w:rFonts w:ascii="Times New Roman" w:eastAsia="宋体" w:hAnsi="Times New Roman" w:cs="Times New Roman"/>
      <w:sz w:val="18"/>
      <w:szCs w:val="18"/>
    </w:rPr>
  </w:style>
  <w:style w:type="character" w:customStyle="1" w:styleId="22">
    <w:name w:val="标题 2 字符2"/>
    <w:link w:val="2"/>
    <w:rPr>
      <w:rFonts w:ascii="Arial" w:eastAsia="黑体" w:hAnsi="Arial" w:cs="Times New Roman"/>
      <w:b/>
      <w:sz w:val="32"/>
      <w:szCs w:val="20"/>
    </w:rPr>
  </w:style>
  <w:style w:type="paragraph" w:customStyle="1" w:styleId="wz1">
    <w:name w:val="wz1"/>
    <w:basedOn w:val="a"/>
    <w:pPr>
      <w:widowControl/>
      <w:spacing w:before="100" w:beforeAutospacing="1" w:after="100" w:afterAutospacing="1" w:line="245" w:lineRule="atLeast"/>
      <w:jc w:val="left"/>
    </w:pPr>
    <w:rPr>
      <w:rFonts w:ascii="Arial Unicode MS" w:eastAsia="Arial Unicode MS" w:hAnsi="Arial Unicode MS" w:cs="Arial Unicode MS"/>
      <w:color w:val="CC0000"/>
      <w:kern w:val="0"/>
      <w:sz w:val="22"/>
      <w:szCs w:val="22"/>
    </w:rPr>
  </w:style>
  <w:style w:type="character" w:customStyle="1" w:styleId="af4">
    <w:name w:val="正文文本 字符"/>
    <w:basedOn w:val="a1"/>
    <w:uiPriority w:val="99"/>
    <w:semiHidden/>
    <w:rPr>
      <w:rFonts w:ascii="Times New Roman" w:eastAsia="宋体" w:hAnsi="Times New Roman" w:cs="Times New Roman"/>
      <w:szCs w:val="24"/>
    </w:rPr>
  </w:style>
  <w:style w:type="character" w:customStyle="1" w:styleId="21">
    <w:name w:val="正文文本 字符2"/>
    <w:link w:val="a5"/>
    <w:rPr>
      <w:rFonts w:ascii="仿宋_GB2312" w:eastAsia="仿宋_GB2312" w:hAnsi="Times New Roman" w:cs="Times New Roman"/>
      <w:color w:val="000000"/>
      <w:kern w:val="0"/>
      <w:sz w:val="24"/>
      <w:szCs w:val="28"/>
    </w:rPr>
  </w:style>
  <w:style w:type="character" w:customStyle="1" w:styleId="read">
    <w:name w:val="read"/>
    <w:basedOn w:val="a1"/>
  </w:style>
  <w:style w:type="character" w:customStyle="1" w:styleId="af5">
    <w:name w:val="正文文本缩进 字符"/>
    <w:basedOn w:val="a1"/>
    <w:uiPriority w:val="99"/>
    <w:semiHidden/>
    <w:rPr>
      <w:rFonts w:ascii="Times New Roman" w:eastAsia="宋体" w:hAnsi="Times New Roman" w:cs="Times New Roman"/>
      <w:szCs w:val="24"/>
    </w:rPr>
  </w:style>
  <w:style w:type="character" w:customStyle="1" w:styleId="23">
    <w:name w:val="正文文本缩进 字符2"/>
    <w:link w:val="a6"/>
    <w:rPr>
      <w:rFonts w:ascii="Times New Roman" w:eastAsia="方正仿宋简体" w:hAnsi="Times New Roman" w:cs="Times New Roman"/>
      <w:sz w:val="24"/>
      <w:szCs w:val="30"/>
    </w:rPr>
  </w:style>
  <w:style w:type="character" w:customStyle="1" w:styleId="2b">
    <w:name w:val="正文文本缩进 2 字符"/>
    <w:basedOn w:val="a1"/>
    <w:uiPriority w:val="99"/>
    <w:semiHidden/>
    <w:rPr>
      <w:rFonts w:ascii="Times New Roman" w:eastAsia="宋体" w:hAnsi="Times New Roman" w:cs="Times New Roman"/>
      <w:szCs w:val="24"/>
    </w:rPr>
  </w:style>
  <w:style w:type="character" w:customStyle="1" w:styleId="220">
    <w:name w:val="正文文本缩进 2 字符2"/>
    <w:link w:val="24"/>
    <w:rPr>
      <w:rFonts w:ascii="宋体" w:eastAsia="宋体" w:hAnsi="宋体" w:cs="Times New Roman"/>
      <w:sz w:val="28"/>
      <w:szCs w:val="20"/>
    </w:rPr>
  </w:style>
  <w:style w:type="character" w:customStyle="1" w:styleId="31">
    <w:name w:val="正文文本缩进 3 字符"/>
    <w:basedOn w:val="a1"/>
    <w:uiPriority w:val="99"/>
    <w:semiHidden/>
    <w:rPr>
      <w:rFonts w:ascii="Times New Roman" w:eastAsia="宋体" w:hAnsi="Times New Roman" w:cs="Times New Roman"/>
      <w:sz w:val="16"/>
      <w:szCs w:val="16"/>
    </w:rPr>
  </w:style>
  <w:style w:type="character" w:customStyle="1" w:styleId="32">
    <w:name w:val="正文文本缩进 3 字符2"/>
    <w:link w:val="30"/>
    <w:rPr>
      <w:rFonts w:ascii="仿宋_GB2312" w:eastAsia="仿宋_GB2312" w:hAnsi="宋体" w:cs="Arial"/>
      <w:color w:val="000000"/>
      <w:sz w:val="24"/>
      <w:szCs w:val="24"/>
    </w:rPr>
  </w:style>
  <w:style w:type="character" w:customStyle="1" w:styleId="af6">
    <w:name w:val="批注框文本 字符"/>
    <w:basedOn w:val="a1"/>
    <w:uiPriority w:val="99"/>
    <w:semiHidden/>
    <w:qFormat/>
    <w:rPr>
      <w:rFonts w:ascii="Times New Roman" w:eastAsia="宋体" w:hAnsi="Times New Roman" w:cs="Times New Roman"/>
      <w:sz w:val="18"/>
      <w:szCs w:val="18"/>
    </w:rPr>
  </w:style>
  <w:style w:type="character" w:customStyle="1" w:styleId="25">
    <w:name w:val="批注框文本 字符2"/>
    <w:link w:val="a7"/>
    <w:semiHidden/>
    <w:rPr>
      <w:rFonts w:ascii="Times New Roman" w:eastAsia="宋体" w:hAnsi="Times New Roman" w:cs="Times New Roman"/>
      <w:sz w:val="18"/>
      <w:szCs w:val="18"/>
    </w:rPr>
  </w:style>
  <w:style w:type="paragraph" w:customStyle="1" w:styleId="Char">
    <w:name w:val="Char"/>
    <w:basedOn w:val="a"/>
  </w:style>
  <w:style w:type="paragraph" w:customStyle="1" w:styleId="Char1">
    <w:name w:val="Char1"/>
    <w:basedOn w:val="a"/>
    <w:pPr>
      <w:tabs>
        <w:tab w:val="left" w:pos="832"/>
      </w:tabs>
      <w:ind w:left="832" w:hanging="420"/>
      <w:jc w:val="center"/>
    </w:pPr>
    <w:rPr>
      <w:rFonts w:ascii="楷体_GB2312" w:eastAsia="楷体_GB2312"/>
      <w:b/>
      <w:color w:val="000080"/>
      <w:sz w:val="30"/>
      <w:szCs w:val="30"/>
    </w:rPr>
  </w:style>
  <w:style w:type="paragraph" w:customStyle="1" w:styleId="CharCharChar">
    <w:name w:val="Char Char Char"/>
    <w:basedOn w:val="a"/>
  </w:style>
  <w:style w:type="character" w:customStyle="1" w:styleId="af7">
    <w:name w:val="批注文字 字符"/>
    <w:basedOn w:val="a1"/>
    <w:qFormat/>
    <w:rPr>
      <w:rFonts w:ascii="Times New Roman" w:eastAsia="宋体" w:hAnsi="Times New Roman" w:cs="Times New Roman"/>
      <w:szCs w:val="24"/>
    </w:rPr>
  </w:style>
  <w:style w:type="character" w:customStyle="1" w:styleId="20">
    <w:name w:val="批注文字 字符2"/>
    <w:link w:val="a4"/>
    <w:qFormat/>
    <w:rPr>
      <w:rFonts w:ascii="Times New Roman" w:eastAsia="宋体" w:hAnsi="Times New Roman" w:cs="Times New Roman"/>
      <w:szCs w:val="24"/>
    </w:rPr>
  </w:style>
  <w:style w:type="paragraph" w:customStyle="1" w:styleId="CharCharCharCharCharCharChar1CharCharCharCharCharChar">
    <w:name w:val="Char Char Char Char Char Char Char1 Char Char Char Char Char Char"/>
    <w:basedOn w:val="a"/>
    <w:qFormat/>
  </w:style>
  <w:style w:type="paragraph" w:customStyle="1" w:styleId="CharChar">
    <w:name w:val="Char Char"/>
    <w:basedOn w:val="a"/>
    <w:rPr>
      <w:szCs w:val="20"/>
    </w:rPr>
  </w:style>
  <w:style w:type="character" w:customStyle="1" w:styleId="HTML0">
    <w:name w:val="HTML 预设格式 字符"/>
    <w:basedOn w:val="a1"/>
    <w:uiPriority w:val="99"/>
    <w:semiHidden/>
    <w:rPr>
      <w:rFonts w:ascii="Courier New" w:eastAsia="宋体" w:hAnsi="Courier New" w:cs="Courier New"/>
      <w:sz w:val="20"/>
      <w:szCs w:val="20"/>
    </w:rPr>
  </w:style>
  <w:style w:type="character" w:customStyle="1" w:styleId="HTML2">
    <w:name w:val="HTML 预设格式 字符2"/>
    <w:link w:val="HTML"/>
    <w:uiPriority w:val="99"/>
    <w:rPr>
      <w:rFonts w:ascii="宋体" w:eastAsia="宋体" w:hAnsi="宋体" w:cs="宋体"/>
      <w:kern w:val="0"/>
      <w:sz w:val="24"/>
      <w:szCs w:val="24"/>
    </w:rPr>
  </w:style>
  <w:style w:type="character" w:customStyle="1" w:styleId="af8">
    <w:name w:val="批注主题 字符"/>
    <w:basedOn w:val="af7"/>
    <w:uiPriority w:val="99"/>
    <w:semiHidden/>
    <w:rPr>
      <w:rFonts w:ascii="Times New Roman" w:eastAsia="宋体" w:hAnsi="Times New Roman" w:cs="Times New Roman"/>
      <w:b/>
      <w:bCs/>
      <w:szCs w:val="24"/>
    </w:rPr>
  </w:style>
  <w:style w:type="character" w:customStyle="1" w:styleId="29">
    <w:name w:val="批注主题 字符2"/>
    <w:link w:val="ab"/>
    <w:rPr>
      <w:rFonts w:ascii="Times New Roman" w:eastAsia="宋体" w:hAnsi="Times New Roman" w:cs="Times New Roman"/>
      <w:b/>
      <w:bCs/>
      <w:szCs w:val="24"/>
    </w:rPr>
  </w:style>
  <w:style w:type="paragraph" w:customStyle="1" w:styleId="Style58">
    <w:name w:val="_Style 58"/>
    <w:uiPriority w:val="99"/>
    <w:unhideWhenUsed/>
    <w:pPr>
      <w:widowControl w:val="0"/>
      <w:jc w:val="both"/>
    </w:pPr>
    <w:rPr>
      <w:rFonts w:ascii="Times New Roman" w:eastAsia="宋体" w:hAnsi="Times New Roman" w:cs="Times New Roman"/>
      <w:kern w:val="2"/>
      <w:sz w:val="21"/>
      <w:szCs w:val="24"/>
    </w:rPr>
  </w:style>
  <w:style w:type="paragraph" w:customStyle="1" w:styleId="10">
    <w:name w:val="修订1"/>
    <w:hidden/>
    <w:uiPriority w:val="99"/>
    <w:semiHidden/>
    <w:qFormat/>
    <w:rPr>
      <w:rFonts w:ascii="Times New Roman" w:eastAsia="宋体" w:hAnsi="Times New Roman" w:cs="Times New Roman"/>
      <w:kern w:val="2"/>
      <w:sz w:val="21"/>
      <w:szCs w:val="24"/>
    </w:rPr>
  </w:style>
  <w:style w:type="paragraph" w:customStyle="1" w:styleId="msonormal0">
    <w:name w:val="msonormal"/>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customStyle="1" w:styleId="11">
    <w:name w:val="页眉 字符1"/>
    <w:semiHidden/>
    <w:locked/>
    <w:rPr>
      <w:rFonts w:ascii="Times New Roman" w:eastAsia="宋体" w:hAnsi="Times New Roman" w:cs="Times New Roman"/>
      <w:sz w:val="18"/>
      <w:szCs w:val="18"/>
    </w:rPr>
  </w:style>
  <w:style w:type="character" w:customStyle="1" w:styleId="12">
    <w:name w:val="页脚 字符1"/>
    <w:semiHidden/>
    <w:locked/>
    <w:rPr>
      <w:rFonts w:ascii="Times New Roman" w:eastAsia="宋体" w:hAnsi="Times New Roman" w:cs="Times New Roman"/>
      <w:sz w:val="18"/>
      <w:szCs w:val="18"/>
    </w:rPr>
  </w:style>
  <w:style w:type="character" w:customStyle="1" w:styleId="210">
    <w:name w:val="标题 2 字符1"/>
    <w:semiHidden/>
    <w:locked/>
    <w:rPr>
      <w:rFonts w:ascii="Arial" w:eastAsia="黑体" w:hAnsi="Arial" w:cs="Times New Roman"/>
      <w:b/>
      <w:sz w:val="32"/>
      <w:szCs w:val="20"/>
    </w:rPr>
  </w:style>
  <w:style w:type="character" w:customStyle="1" w:styleId="13">
    <w:name w:val="正文文本 字符1"/>
    <w:semiHidden/>
    <w:locked/>
    <w:rPr>
      <w:rFonts w:ascii="仿宋_GB2312" w:eastAsia="仿宋_GB2312" w:hAnsi="Times New Roman" w:cs="Times New Roman"/>
      <w:color w:val="000000"/>
      <w:kern w:val="0"/>
      <w:sz w:val="24"/>
      <w:szCs w:val="28"/>
    </w:rPr>
  </w:style>
  <w:style w:type="character" w:customStyle="1" w:styleId="14">
    <w:name w:val="正文文本缩进 字符1"/>
    <w:semiHidden/>
    <w:locked/>
    <w:rPr>
      <w:rFonts w:ascii="Times New Roman" w:eastAsia="方正仿宋简体" w:hAnsi="Times New Roman" w:cs="Times New Roman"/>
      <w:sz w:val="24"/>
      <w:szCs w:val="30"/>
    </w:rPr>
  </w:style>
  <w:style w:type="character" w:customStyle="1" w:styleId="211">
    <w:name w:val="正文文本缩进 2 字符1"/>
    <w:semiHidden/>
    <w:locked/>
    <w:rPr>
      <w:rFonts w:ascii="宋体" w:eastAsia="宋体" w:hAnsi="宋体" w:cs="Times New Roman"/>
      <w:sz w:val="28"/>
      <w:szCs w:val="20"/>
    </w:rPr>
  </w:style>
  <w:style w:type="character" w:customStyle="1" w:styleId="310">
    <w:name w:val="正文文本缩进 3 字符1"/>
    <w:semiHidden/>
    <w:locked/>
    <w:rPr>
      <w:rFonts w:ascii="仿宋_GB2312" w:eastAsia="仿宋_GB2312" w:hAnsi="宋体" w:cs="Arial"/>
      <w:color w:val="000000"/>
      <w:sz w:val="24"/>
      <w:szCs w:val="24"/>
    </w:rPr>
  </w:style>
  <w:style w:type="character" w:customStyle="1" w:styleId="15">
    <w:name w:val="批注框文本 字符1"/>
    <w:semiHidden/>
    <w:locked/>
    <w:rPr>
      <w:rFonts w:ascii="Times New Roman" w:eastAsia="宋体" w:hAnsi="Times New Roman" w:cs="Times New Roman"/>
      <w:sz w:val="18"/>
      <w:szCs w:val="18"/>
    </w:rPr>
  </w:style>
  <w:style w:type="character" w:customStyle="1" w:styleId="16">
    <w:name w:val="批注文字 字符1"/>
    <w:semiHidden/>
    <w:locked/>
    <w:rPr>
      <w:rFonts w:ascii="Times New Roman" w:eastAsia="宋体" w:hAnsi="Times New Roman" w:cs="Times New Roman"/>
      <w:szCs w:val="24"/>
    </w:rPr>
  </w:style>
  <w:style w:type="character" w:customStyle="1" w:styleId="HTML1">
    <w:name w:val="HTML 预设格式 字符1"/>
    <w:uiPriority w:val="99"/>
    <w:semiHidden/>
    <w:locked/>
    <w:rPr>
      <w:rFonts w:ascii="宋体" w:eastAsia="宋体" w:hAnsi="宋体" w:cs="宋体"/>
      <w:kern w:val="0"/>
      <w:sz w:val="24"/>
      <w:szCs w:val="24"/>
    </w:rPr>
  </w:style>
  <w:style w:type="character" w:customStyle="1" w:styleId="17">
    <w:name w:val="批注主题 字符1"/>
    <w:semiHidden/>
    <w:locked/>
    <w:rPr>
      <w:rFonts w:ascii="Times New Roman" w:eastAsia="宋体" w:hAnsi="Times New Roman" w:cs="Times New Roman"/>
      <w:b/>
      <w:bCs/>
      <w:szCs w:val="24"/>
    </w:rPr>
  </w:style>
  <w:style w:type="paragraph" w:customStyle="1" w:styleId="2c">
    <w:name w:val="修订2"/>
    <w:hidden/>
    <w:uiPriority w:val="99"/>
    <w:semiHidden/>
    <w:rPr>
      <w:rFonts w:ascii="Times New Roman" w:eastAsia="宋体" w:hAnsi="Times New Roman" w:cs="Times New Roman"/>
      <w:kern w:val="2"/>
      <w:sz w:val="21"/>
      <w:szCs w:val="24"/>
    </w:rPr>
  </w:style>
  <w:style w:type="character" w:customStyle="1" w:styleId="18">
    <w:name w:val="未处理的提及1"/>
    <w:basedOn w:val="a1"/>
    <w:uiPriority w:val="99"/>
    <w:semiHidden/>
    <w:unhideWhenUsed/>
    <w:rPr>
      <w:color w:val="605E5C"/>
      <w:shd w:val="clear" w:color="auto" w:fill="E1DFDD"/>
    </w:rPr>
  </w:style>
  <w:style w:type="character" w:customStyle="1" w:styleId="fontstyle01">
    <w:name w:val="fontstyle01"/>
    <w:basedOn w:val="a1"/>
    <w:rPr>
      <w:rFonts w:ascii="????" w:hAnsi="????" w:hint="default"/>
      <w:color w:val="000000"/>
      <w:sz w:val="24"/>
      <w:szCs w:val="24"/>
    </w:rPr>
  </w:style>
  <w:style w:type="paragraph" w:styleId="af9">
    <w:name w:val="Revision"/>
    <w:hidden/>
    <w:uiPriority w:val="99"/>
    <w:unhideWhenUsed/>
    <w:rsid w:val="00195CE6"/>
    <w:rPr>
      <w:rFonts w:ascii="Times New Roman" w:eastAsia="宋体" w:hAnsi="Times New Roman" w:cs="Times New Roman"/>
      <w:kern w:val="2"/>
      <w:sz w:val="21"/>
      <w:szCs w:val="24"/>
    </w:rPr>
  </w:style>
  <w:style w:type="character" w:customStyle="1" w:styleId="33">
    <w:name w:val="批注文字 字符3"/>
    <w:qFormat/>
    <w:rsid w:val="00E5336F"/>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18"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26"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39" Type="http://schemas.microsoft.com/office/2018/08/relationships/commentsExtensible" Target="commentsExtensible.xml"/><Relationship Id="rId3" Type="http://schemas.openxmlformats.org/officeDocument/2006/relationships/settings" Target="settings.xml"/><Relationship Id="rId21"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34" Type="http://schemas.openxmlformats.org/officeDocument/2006/relationships/theme" Target="theme/theme1.xml"/><Relationship Id="rId7"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12"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17"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25"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33" Type="http://schemas.openxmlformats.org/officeDocument/2006/relationships/fontTable" Target="fontTable.xml"/><Relationship Id="rId38" Type="http://schemas.microsoft.com/office/2016/09/relationships/commentsIds" Target="commentsIds.xml"/><Relationship Id="rId2" Type="http://schemas.openxmlformats.org/officeDocument/2006/relationships/styles" Target="styles.xml"/><Relationship Id="rId16"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20"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24"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23"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28" Type="http://schemas.openxmlformats.org/officeDocument/2006/relationships/hyperlink" Target="https://lawv4.wkinfo.com.cn/document/show?collection=legislation&amp;aid=MTAxMDAxMzQ2NTE%3D&amp;language=%E4%B8%AD%E6%96%87" TargetMode="External"/><Relationship Id="rId10"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19"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14"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22"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27"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 Id="rId30" Type="http://schemas.openxmlformats.org/officeDocument/2006/relationships/footer" Target="footer1.xml"/><Relationship Id="rId8" Type="http://schemas.openxmlformats.org/officeDocument/2006/relationships/hyperlink" Target="file:///C:\Users\zhengjun\AppData\Local\Microsoft\Windows\INetCache\Content.Outlook\0COQINEJ\&#12304;&#21327;&#35758;&#27169;&#26495;&#12305;&#35777;&#21048;&#25237;&#36164;&#22522;&#37329;&#25176;&#31649;&#21327;&#35758;&#65288;&#27169;&#26495;&#65289;.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45207539-E25A-4345-B305-D079C3404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5001</Words>
  <Characters>28512</Characters>
  <Application>Microsoft Office Word</Application>
  <DocSecurity>0</DocSecurity>
  <Lines>237</Lines>
  <Paragraphs>66</Paragraphs>
  <ScaleCrop>false</ScaleCrop>
  <Company>神州网信技术有限公司</Company>
  <LinksUpToDate>false</LinksUpToDate>
  <CharactersWithSpaces>33447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郑珺0927</dc:creator>
  <cp:lastModifiedBy>刘淏洋</cp:lastModifiedBy>
  <cp:revision>7</cp:revision>
  <dcterms:created xsi:type="dcterms:W3CDTF">2026-05-25T08:12:00Z</dcterms:created>
  <dcterms:modified xsi:type="dcterms:W3CDTF">2026-08-24T06:16:00Z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DF031442397D483CBA8E02092C7976DD_12</vt:lpwstr>
  </property>
</Properties>
</file>