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F68E0C" w14:textId="77777777" w:rsidR="00B06AEE" w:rsidRDefault="00B06AEE">
      <w:pPr>
        <w:adjustRightInd w:val="0"/>
        <w:snapToGrid w:val="0"/>
        <w:jc w:val="center"/>
        <w:rPr>
          <w:rFonts w:asciiTheme="minorHAnsi" w:eastAsia="彩虹粗仿宋" w:hAnsiTheme="minorHAnsi" w:cs="Arial"/>
          <w:sz w:val="24"/>
        </w:rPr>
      </w:pPr>
    </w:p>
    <w:p w14:paraId="30B46DA7" w14:textId="77777777" w:rsidR="00B06AEE" w:rsidRDefault="00B06AEE">
      <w:pPr>
        <w:adjustRightInd w:val="0"/>
        <w:snapToGrid w:val="0"/>
        <w:jc w:val="center"/>
        <w:rPr>
          <w:rFonts w:ascii="彩虹粗仿宋" w:eastAsia="彩虹粗仿宋" w:hAnsi="宋体" w:cs="Arial"/>
          <w:sz w:val="24"/>
        </w:rPr>
      </w:pPr>
    </w:p>
    <w:p w14:paraId="14DF6CEC" w14:textId="77777777" w:rsidR="00B06AEE" w:rsidRDefault="00B06AEE">
      <w:pPr>
        <w:adjustRightInd w:val="0"/>
        <w:snapToGrid w:val="0"/>
        <w:jc w:val="center"/>
        <w:rPr>
          <w:rFonts w:ascii="彩虹粗仿宋" w:eastAsia="彩虹粗仿宋" w:hAnsi="宋体" w:cs="Arial"/>
          <w:sz w:val="24"/>
        </w:rPr>
      </w:pPr>
    </w:p>
    <w:p w14:paraId="5A6257A0" w14:textId="77777777" w:rsidR="00B06AEE" w:rsidRDefault="00B06AEE">
      <w:pPr>
        <w:adjustRightInd w:val="0"/>
        <w:snapToGrid w:val="0"/>
        <w:jc w:val="center"/>
        <w:rPr>
          <w:rFonts w:ascii="彩虹粗仿宋" w:eastAsia="彩虹粗仿宋" w:hAnsi="宋体" w:cs="Arial"/>
          <w:sz w:val="24"/>
        </w:rPr>
      </w:pPr>
    </w:p>
    <w:p w14:paraId="09C87051" w14:textId="77777777" w:rsidR="00B06AEE" w:rsidRDefault="00B06AEE">
      <w:pPr>
        <w:adjustRightInd w:val="0"/>
        <w:snapToGrid w:val="0"/>
        <w:jc w:val="center"/>
        <w:rPr>
          <w:rFonts w:ascii="彩虹粗仿宋" w:eastAsia="彩虹粗仿宋" w:hAnsi="宋体" w:cs="Arial"/>
          <w:sz w:val="24"/>
        </w:rPr>
      </w:pPr>
    </w:p>
    <w:p w14:paraId="69898912" w14:textId="77777777" w:rsidR="00B06AEE" w:rsidRDefault="00B06AEE">
      <w:pPr>
        <w:adjustRightInd w:val="0"/>
        <w:snapToGrid w:val="0"/>
        <w:jc w:val="center"/>
        <w:rPr>
          <w:rFonts w:ascii="彩虹粗仿宋" w:eastAsia="彩虹粗仿宋" w:hAnsi="宋体" w:cs="Arial"/>
          <w:sz w:val="24"/>
        </w:rPr>
      </w:pPr>
    </w:p>
    <w:p w14:paraId="5C5C79D7" w14:textId="77777777" w:rsidR="00B06AEE" w:rsidRDefault="00B06AEE">
      <w:pPr>
        <w:adjustRightInd w:val="0"/>
        <w:snapToGrid w:val="0"/>
        <w:jc w:val="center"/>
        <w:rPr>
          <w:rFonts w:ascii="彩虹粗仿宋" w:eastAsia="彩虹粗仿宋" w:hAnsi="宋体" w:cs="Arial"/>
          <w:sz w:val="24"/>
        </w:rPr>
      </w:pPr>
    </w:p>
    <w:p w14:paraId="62BB0213" w14:textId="77777777" w:rsidR="00B06AEE" w:rsidRDefault="00B06AEE">
      <w:pPr>
        <w:adjustRightInd w:val="0"/>
        <w:snapToGrid w:val="0"/>
        <w:jc w:val="center"/>
        <w:rPr>
          <w:rFonts w:ascii="彩虹粗仿宋" w:eastAsia="彩虹粗仿宋" w:hAnsi="宋体" w:cs="Arial"/>
          <w:sz w:val="24"/>
        </w:rPr>
      </w:pPr>
    </w:p>
    <w:p w14:paraId="3B4B6BFE" w14:textId="77777777" w:rsidR="00B06AEE" w:rsidRDefault="00B06AEE">
      <w:pPr>
        <w:adjustRightInd w:val="0"/>
        <w:snapToGrid w:val="0"/>
        <w:jc w:val="center"/>
        <w:rPr>
          <w:rFonts w:ascii="彩虹粗仿宋" w:eastAsia="彩虹粗仿宋" w:hAnsi="宋体" w:cs="Arial"/>
          <w:sz w:val="24"/>
        </w:rPr>
      </w:pPr>
    </w:p>
    <w:p w14:paraId="577AC7FD" w14:textId="77777777" w:rsidR="00B06AEE" w:rsidRDefault="00B06AEE">
      <w:pPr>
        <w:adjustRightInd w:val="0"/>
        <w:snapToGrid w:val="0"/>
        <w:jc w:val="center"/>
        <w:rPr>
          <w:rFonts w:ascii="彩虹粗仿宋" w:eastAsia="彩虹粗仿宋" w:hAnsi="宋体" w:cs="Arial"/>
          <w:sz w:val="24"/>
        </w:rPr>
      </w:pPr>
    </w:p>
    <w:p w14:paraId="1C571126" w14:textId="77777777" w:rsidR="00B06AEE" w:rsidRDefault="00B06AEE">
      <w:pPr>
        <w:adjustRightInd w:val="0"/>
        <w:snapToGrid w:val="0"/>
        <w:jc w:val="center"/>
        <w:rPr>
          <w:rFonts w:ascii="彩虹粗仿宋" w:eastAsia="彩虹粗仿宋" w:hAnsi="宋体" w:cs="Arial"/>
          <w:sz w:val="24"/>
        </w:rPr>
      </w:pPr>
    </w:p>
    <w:p w14:paraId="5339A948" w14:textId="6FC5C208" w:rsidR="00B06AEE" w:rsidRDefault="009B7CB4">
      <w:pPr>
        <w:adjustRightInd w:val="0"/>
        <w:snapToGrid w:val="0"/>
        <w:jc w:val="center"/>
        <w:rPr>
          <w:rFonts w:ascii="彩虹粗仿宋" w:eastAsia="彩虹粗仿宋" w:hAnsi="宋体" w:cs="Arial"/>
          <w:b/>
          <w:sz w:val="44"/>
        </w:rPr>
      </w:pPr>
      <w:r>
        <w:rPr>
          <w:rFonts w:ascii="彩虹粗仿宋" w:eastAsia="彩虹粗仿宋" w:hAnsi="宋体" w:cs="Arial" w:hint="eastAsia"/>
          <w:b/>
          <w:sz w:val="44"/>
        </w:rPr>
        <w:t>贝莱德稳利63个月封闭式债券型证券投资基金</w:t>
      </w:r>
    </w:p>
    <w:p w14:paraId="66201E1F" w14:textId="6A9FA1A8" w:rsidR="00B06AEE" w:rsidRDefault="00AD37FE">
      <w:pPr>
        <w:adjustRightInd w:val="0"/>
        <w:snapToGrid w:val="0"/>
        <w:jc w:val="center"/>
        <w:rPr>
          <w:rFonts w:ascii="彩虹粗仿宋" w:eastAsia="彩虹粗仿宋" w:hAnsi="宋体" w:cs="Arial"/>
          <w:b/>
          <w:sz w:val="44"/>
        </w:rPr>
      </w:pPr>
      <w:r>
        <w:rPr>
          <w:rFonts w:ascii="彩虹粗仿宋" w:eastAsia="彩虹粗仿宋" w:hAnsi="宋体" w:cs="Arial" w:hint="eastAsia"/>
          <w:b/>
          <w:sz w:val="44"/>
        </w:rPr>
        <w:t>托管协议</w:t>
      </w:r>
    </w:p>
    <w:p w14:paraId="79308BD6" w14:textId="77777777" w:rsidR="00B06AEE" w:rsidRDefault="00B06AEE">
      <w:pPr>
        <w:adjustRightInd w:val="0"/>
        <w:snapToGrid w:val="0"/>
        <w:jc w:val="center"/>
        <w:outlineLvl w:val="0"/>
        <w:rPr>
          <w:rFonts w:ascii="彩虹粗仿宋" w:eastAsia="彩虹粗仿宋" w:hAnsi="宋体" w:cs="Arial"/>
          <w:sz w:val="24"/>
        </w:rPr>
      </w:pPr>
    </w:p>
    <w:p w14:paraId="56718541" w14:textId="77777777" w:rsidR="00B06AEE" w:rsidRDefault="00B06AEE">
      <w:pPr>
        <w:adjustRightInd w:val="0"/>
        <w:snapToGrid w:val="0"/>
        <w:jc w:val="center"/>
        <w:outlineLvl w:val="0"/>
        <w:rPr>
          <w:rFonts w:ascii="彩虹粗仿宋" w:eastAsia="彩虹粗仿宋" w:hAnsi="宋体" w:cs="Arial"/>
          <w:sz w:val="24"/>
        </w:rPr>
      </w:pPr>
    </w:p>
    <w:p w14:paraId="5C11F9D6" w14:textId="77777777" w:rsidR="00B06AEE" w:rsidRDefault="00B06AEE">
      <w:pPr>
        <w:adjustRightInd w:val="0"/>
        <w:snapToGrid w:val="0"/>
        <w:jc w:val="center"/>
        <w:outlineLvl w:val="0"/>
        <w:rPr>
          <w:rFonts w:ascii="彩虹粗仿宋" w:eastAsia="彩虹粗仿宋" w:hAnsi="宋体" w:cs="Arial"/>
          <w:sz w:val="24"/>
        </w:rPr>
      </w:pPr>
    </w:p>
    <w:p w14:paraId="38AA5DCF" w14:textId="77777777" w:rsidR="00B06AEE" w:rsidRDefault="00B06AEE">
      <w:pPr>
        <w:adjustRightInd w:val="0"/>
        <w:snapToGrid w:val="0"/>
        <w:jc w:val="center"/>
        <w:outlineLvl w:val="0"/>
        <w:rPr>
          <w:rFonts w:ascii="彩虹粗仿宋" w:eastAsia="彩虹粗仿宋" w:hAnsi="宋体" w:cs="Arial"/>
          <w:sz w:val="24"/>
        </w:rPr>
      </w:pPr>
    </w:p>
    <w:p w14:paraId="7ADDAA95" w14:textId="77777777" w:rsidR="00B06AEE" w:rsidRDefault="00B06AEE">
      <w:pPr>
        <w:adjustRightInd w:val="0"/>
        <w:snapToGrid w:val="0"/>
        <w:jc w:val="center"/>
        <w:outlineLvl w:val="0"/>
        <w:rPr>
          <w:rFonts w:ascii="彩虹粗仿宋" w:eastAsia="彩虹粗仿宋" w:hAnsi="宋体" w:cs="Arial"/>
          <w:sz w:val="24"/>
        </w:rPr>
      </w:pPr>
    </w:p>
    <w:p w14:paraId="24E614E9" w14:textId="77777777" w:rsidR="00B06AEE" w:rsidRDefault="00B06AEE">
      <w:pPr>
        <w:adjustRightInd w:val="0"/>
        <w:snapToGrid w:val="0"/>
        <w:jc w:val="center"/>
        <w:outlineLvl w:val="0"/>
        <w:rPr>
          <w:rFonts w:ascii="彩虹粗仿宋" w:eastAsia="彩虹粗仿宋" w:hAnsi="宋体" w:cs="Arial"/>
          <w:sz w:val="24"/>
        </w:rPr>
      </w:pPr>
    </w:p>
    <w:p w14:paraId="29BCEF02" w14:textId="77777777" w:rsidR="00B06AEE" w:rsidRDefault="00B06AEE">
      <w:pPr>
        <w:adjustRightInd w:val="0"/>
        <w:snapToGrid w:val="0"/>
        <w:jc w:val="center"/>
        <w:outlineLvl w:val="0"/>
        <w:rPr>
          <w:rFonts w:ascii="彩虹粗仿宋" w:eastAsia="彩虹粗仿宋" w:hAnsi="宋体" w:cs="Arial"/>
          <w:sz w:val="24"/>
        </w:rPr>
      </w:pPr>
    </w:p>
    <w:p w14:paraId="5029FAB0" w14:textId="77777777" w:rsidR="00B06AEE" w:rsidRDefault="00B06AEE">
      <w:pPr>
        <w:adjustRightInd w:val="0"/>
        <w:snapToGrid w:val="0"/>
        <w:jc w:val="center"/>
        <w:outlineLvl w:val="0"/>
        <w:rPr>
          <w:rFonts w:ascii="彩虹粗仿宋" w:eastAsia="彩虹粗仿宋" w:hAnsi="宋体" w:cs="Arial"/>
          <w:sz w:val="24"/>
        </w:rPr>
      </w:pPr>
    </w:p>
    <w:p w14:paraId="75831F68" w14:textId="77777777" w:rsidR="00B06AEE" w:rsidRDefault="00B06AEE">
      <w:pPr>
        <w:adjustRightInd w:val="0"/>
        <w:snapToGrid w:val="0"/>
        <w:outlineLvl w:val="0"/>
        <w:rPr>
          <w:rFonts w:ascii="彩虹粗仿宋" w:eastAsia="彩虹粗仿宋" w:hAnsi="宋体" w:cs="Arial"/>
          <w:sz w:val="24"/>
        </w:rPr>
      </w:pPr>
    </w:p>
    <w:p w14:paraId="4258C115" w14:textId="77777777" w:rsidR="00B06AEE" w:rsidRDefault="00AD37FE">
      <w:pPr>
        <w:adjustRightInd w:val="0"/>
        <w:snapToGrid w:val="0"/>
        <w:jc w:val="center"/>
        <w:outlineLvl w:val="0"/>
        <w:rPr>
          <w:rFonts w:ascii="彩虹粗仿宋" w:eastAsia="彩虹粗仿宋" w:hAnsi="宋体" w:cs="Arial"/>
          <w:b/>
          <w:bCs/>
          <w:sz w:val="28"/>
        </w:rPr>
      </w:pPr>
      <w:r>
        <w:rPr>
          <w:rFonts w:ascii="彩虹粗仿宋" w:eastAsia="彩虹粗仿宋" w:hAnsi="宋体" w:cs="Arial" w:hint="eastAsia"/>
          <w:b/>
          <w:bCs/>
          <w:sz w:val="28"/>
        </w:rPr>
        <w:t>基金管理人：贝莱德基金管理有限公司</w:t>
      </w:r>
    </w:p>
    <w:p w14:paraId="61F41679" w14:textId="77777777" w:rsidR="00B06AEE" w:rsidRDefault="00AD37FE">
      <w:pPr>
        <w:adjustRightInd w:val="0"/>
        <w:snapToGrid w:val="0"/>
        <w:jc w:val="center"/>
        <w:outlineLvl w:val="0"/>
        <w:rPr>
          <w:rFonts w:ascii="彩虹粗仿宋" w:eastAsia="彩虹粗仿宋" w:hAnsi="宋体" w:cs="Arial"/>
          <w:b/>
          <w:bCs/>
          <w:sz w:val="28"/>
        </w:rPr>
      </w:pPr>
      <w:r>
        <w:rPr>
          <w:rFonts w:ascii="彩虹粗仿宋" w:eastAsia="彩虹粗仿宋" w:hAnsi="宋体" w:cs="Arial" w:hint="eastAsia"/>
          <w:b/>
          <w:bCs/>
          <w:sz w:val="28"/>
        </w:rPr>
        <w:t>基金托管人：中国建设银行股份有限公司</w:t>
      </w:r>
    </w:p>
    <w:p w14:paraId="6C0F039C" w14:textId="77777777" w:rsidR="00B06AEE" w:rsidRDefault="00B06AEE">
      <w:pPr>
        <w:adjustRightInd w:val="0"/>
        <w:snapToGrid w:val="0"/>
        <w:jc w:val="center"/>
        <w:outlineLvl w:val="0"/>
        <w:rPr>
          <w:rFonts w:ascii="彩虹粗仿宋" w:eastAsia="彩虹粗仿宋" w:hAnsi="宋体" w:cs="Arial"/>
          <w:sz w:val="24"/>
        </w:rPr>
      </w:pPr>
    </w:p>
    <w:p w14:paraId="170A67D8" w14:textId="77777777" w:rsidR="00B06AEE" w:rsidRDefault="00B06AEE">
      <w:pPr>
        <w:adjustRightInd w:val="0"/>
        <w:snapToGrid w:val="0"/>
        <w:jc w:val="center"/>
        <w:outlineLvl w:val="0"/>
        <w:rPr>
          <w:rFonts w:ascii="彩虹粗仿宋" w:eastAsia="彩虹粗仿宋" w:hAnsi="宋体" w:cs="Arial"/>
          <w:sz w:val="24"/>
        </w:rPr>
      </w:pPr>
    </w:p>
    <w:p w14:paraId="053E79CD" w14:textId="77777777" w:rsidR="00B06AEE" w:rsidRDefault="00B06AEE">
      <w:pPr>
        <w:adjustRightInd w:val="0"/>
        <w:snapToGrid w:val="0"/>
        <w:jc w:val="center"/>
        <w:outlineLvl w:val="0"/>
        <w:rPr>
          <w:rFonts w:ascii="彩虹粗仿宋" w:eastAsia="彩虹粗仿宋" w:hAnsi="宋体" w:cs="Arial"/>
          <w:sz w:val="24"/>
        </w:rPr>
      </w:pPr>
    </w:p>
    <w:p w14:paraId="48D36704" w14:textId="77777777" w:rsidR="00B06AEE" w:rsidRDefault="00B06AEE">
      <w:pPr>
        <w:adjustRightInd w:val="0"/>
        <w:snapToGrid w:val="0"/>
        <w:jc w:val="center"/>
        <w:outlineLvl w:val="0"/>
        <w:rPr>
          <w:rFonts w:ascii="彩虹粗仿宋" w:eastAsia="彩虹粗仿宋" w:hAnsi="宋体" w:cs="Arial"/>
          <w:sz w:val="24"/>
        </w:rPr>
      </w:pPr>
    </w:p>
    <w:p w14:paraId="7123F179" w14:textId="2AA64FB5" w:rsidR="00B06AEE" w:rsidRDefault="00AD37FE">
      <w:pPr>
        <w:adjustRightInd w:val="0"/>
        <w:snapToGrid w:val="0"/>
        <w:jc w:val="center"/>
        <w:outlineLvl w:val="0"/>
        <w:rPr>
          <w:rFonts w:ascii="彩虹粗仿宋" w:eastAsia="彩虹粗仿宋" w:hAnsi="宋体" w:cs="Arial"/>
          <w:sz w:val="24"/>
        </w:rPr>
      </w:pPr>
      <w:r>
        <w:rPr>
          <w:rFonts w:ascii="彩虹粗仿宋" w:eastAsia="彩虹粗仿宋" w:hAnsi="宋体" w:cs="Arial" w:hint="eastAsia"/>
          <w:sz w:val="24"/>
        </w:rPr>
        <w:t>二零二六年</w:t>
      </w:r>
      <w:r w:rsidR="0038311E">
        <w:rPr>
          <w:rFonts w:ascii="彩虹粗仿宋" w:eastAsia="彩虹粗仿宋" w:hAnsi="宋体" w:cs="Arial" w:hint="eastAsia"/>
          <w:sz w:val="24"/>
        </w:rPr>
        <w:t>九</w:t>
      </w:r>
      <w:r>
        <w:rPr>
          <w:rFonts w:ascii="彩虹粗仿宋" w:eastAsia="彩虹粗仿宋" w:hAnsi="宋体" w:cs="Arial" w:hint="eastAsia"/>
          <w:sz w:val="24"/>
        </w:rPr>
        <w:t>月</w:t>
      </w:r>
    </w:p>
    <w:p w14:paraId="0AF393D0" w14:textId="77777777" w:rsidR="00B06AEE" w:rsidRDefault="00AD37FE">
      <w:pPr>
        <w:adjustRightInd w:val="0"/>
        <w:snapToGrid w:val="0"/>
        <w:outlineLvl w:val="0"/>
        <w:rPr>
          <w:rFonts w:ascii="彩虹粗仿宋" w:eastAsia="彩虹粗仿宋" w:hAnsi="宋体" w:cs="Arial"/>
          <w:sz w:val="24"/>
        </w:rPr>
        <w:sectPr w:rsidR="00B06AEE">
          <w:footerReference w:type="default" r:id="rId7"/>
          <w:pgSz w:w="11906" w:h="16838"/>
          <w:pgMar w:top="1418" w:right="1701" w:bottom="1418" w:left="1701" w:header="851" w:footer="992" w:gutter="0"/>
          <w:cols w:space="425"/>
          <w:docGrid w:type="lines" w:linePitch="312"/>
        </w:sectPr>
      </w:pPr>
      <w:r>
        <w:rPr>
          <w:rFonts w:ascii="彩虹粗仿宋" w:eastAsia="彩虹粗仿宋" w:hAnsi="宋体" w:cs="Arial" w:hint="eastAsia"/>
          <w:sz w:val="24"/>
        </w:rPr>
        <w:t xml:space="preserve">                          </w:t>
      </w:r>
    </w:p>
    <w:p w14:paraId="3D7A58EC" w14:textId="77777777" w:rsidR="00B06AEE" w:rsidRDefault="00AD37FE">
      <w:pPr>
        <w:jc w:val="center"/>
        <w:rPr>
          <w:rFonts w:ascii="彩虹粗仿宋" w:eastAsia="彩虹粗仿宋"/>
          <w:b/>
          <w:bCs/>
          <w:sz w:val="30"/>
        </w:rPr>
      </w:pPr>
      <w:proofErr w:type="gramStart"/>
      <w:r>
        <w:rPr>
          <w:rFonts w:ascii="彩虹粗仿宋" w:eastAsia="彩虹粗仿宋" w:hint="eastAsia"/>
          <w:b/>
          <w:bCs/>
          <w:sz w:val="30"/>
        </w:rPr>
        <w:lastRenderedPageBreak/>
        <w:t>目    录</w:t>
      </w:r>
      <w:proofErr w:type="gramEnd"/>
    </w:p>
    <w:p w14:paraId="19B21EB8" w14:textId="04839BD4" w:rsidR="00B06AEE" w:rsidRDefault="00AD37FE">
      <w:pPr>
        <w:pStyle w:val="TOC2"/>
        <w:tabs>
          <w:tab w:val="right" w:leader="dot" w:pos="8494"/>
        </w:tabs>
        <w:rPr>
          <w:rFonts w:ascii="彩虹粗仿宋" w:eastAsia="彩虹粗仿宋" w:hAnsi="宋体"/>
          <w:noProof/>
          <w:sz w:val="28"/>
        </w:rPr>
      </w:pPr>
      <w:r>
        <w:rPr>
          <w:rFonts w:ascii="彩虹粗仿宋" w:eastAsia="彩虹粗仿宋" w:hAnsi="宋体" w:hint="eastAsia"/>
          <w:sz w:val="28"/>
        </w:rPr>
        <w:fldChar w:fldCharType="begin"/>
      </w:r>
      <w:r>
        <w:rPr>
          <w:rFonts w:ascii="彩虹粗仿宋" w:eastAsia="彩虹粗仿宋" w:hAnsi="宋体" w:hint="eastAsia"/>
          <w:sz w:val="28"/>
        </w:rPr>
        <w:instrText xml:space="preserve"> TOC \o "1-2" \h \z </w:instrText>
      </w:r>
      <w:r>
        <w:rPr>
          <w:rFonts w:ascii="彩虹粗仿宋" w:eastAsia="彩虹粗仿宋" w:hAnsi="宋体" w:hint="eastAsia"/>
          <w:sz w:val="28"/>
        </w:rPr>
        <w:fldChar w:fldCharType="separate"/>
      </w:r>
      <w:hyperlink w:anchor="_Toc124325885" w:history="1">
        <w:r>
          <w:rPr>
            <w:rStyle w:val="Hyperlink"/>
            <w:rFonts w:ascii="彩虹粗仿宋" w:eastAsia="彩虹粗仿宋" w:hAnsi="宋体" w:hint="eastAsia"/>
            <w:noProof/>
            <w:sz w:val="28"/>
            <w:szCs w:val="32"/>
          </w:rPr>
          <w:t>一、基金托管协议当事人</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_Toc124325885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w:t>
        </w:r>
        <w:r>
          <w:rPr>
            <w:rFonts w:ascii="彩虹粗仿宋" w:eastAsia="彩虹粗仿宋" w:hAnsi="宋体" w:hint="eastAsia"/>
            <w:noProof/>
            <w:sz w:val="28"/>
          </w:rPr>
          <w:fldChar w:fldCharType="end"/>
        </w:r>
      </w:hyperlink>
    </w:p>
    <w:p w14:paraId="6151292C" w14:textId="4381AF17" w:rsidR="00B06AEE" w:rsidRDefault="00AD37FE">
      <w:pPr>
        <w:pStyle w:val="TOC2"/>
        <w:tabs>
          <w:tab w:val="right" w:leader="dot" w:pos="8494"/>
        </w:tabs>
        <w:rPr>
          <w:rFonts w:ascii="彩虹粗仿宋" w:eastAsia="彩虹粗仿宋" w:hAnsi="宋体"/>
          <w:noProof/>
          <w:sz w:val="28"/>
        </w:rPr>
      </w:pPr>
      <w:hyperlink w:anchor="_Toc124325886" w:history="1">
        <w:r>
          <w:rPr>
            <w:rStyle w:val="Hyperlink"/>
            <w:rFonts w:ascii="彩虹粗仿宋" w:eastAsia="彩虹粗仿宋" w:hAnsi="宋体" w:hint="eastAsia"/>
            <w:noProof/>
            <w:sz w:val="28"/>
            <w:szCs w:val="32"/>
          </w:rPr>
          <w:t>二、基金托管协议的依据、目的和原则</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_Toc124325886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3</w:t>
        </w:r>
        <w:r>
          <w:rPr>
            <w:rFonts w:ascii="彩虹粗仿宋" w:eastAsia="彩虹粗仿宋" w:hAnsi="宋体" w:hint="eastAsia"/>
            <w:noProof/>
            <w:sz w:val="28"/>
          </w:rPr>
          <w:fldChar w:fldCharType="end"/>
        </w:r>
      </w:hyperlink>
    </w:p>
    <w:p w14:paraId="01A55CE6" w14:textId="0E37C24A" w:rsidR="00B06AEE" w:rsidRDefault="00AD37FE">
      <w:pPr>
        <w:pStyle w:val="TOC2"/>
        <w:tabs>
          <w:tab w:val="right" w:leader="dot" w:pos="8494"/>
        </w:tabs>
        <w:rPr>
          <w:rFonts w:ascii="彩虹粗仿宋" w:eastAsia="彩虹粗仿宋" w:hAnsi="宋体"/>
          <w:noProof/>
          <w:sz w:val="28"/>
        </w:rPr>
      </w:pPr>
      <w:hyperlink w:anchor="_Toc124325887" w:history="1">
        <w:r>
          <w:rPr>
            <w:rStyle w:val="Hyperlink"/>
            <w:rFonts w:ascii="彩虹粗仿宋" w:eastAsia="彩虹粗仿宋" w:hAnsi="宋体" w:hint="eastAsia"/>
            <w:noProof/>
            <w:sz w:val="28"/>
            <w:szCs w:val="32"/>
          </w:rPr>
          <w:t>三、基金托管人对基金管理人的业务监督和核查</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_Toc124325887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4</w:t>
        </w:r>
        <w:r>
          <w:rPr>
            <w:rFonts w:ascii="彩虹粗仿宋" w:eastAsia="彩虹粗仿宋" w:hAnsi="宋体" w:hint="eastAsia"/>
            <w:noProof/>
            <w:sz w:val="28"/>
          </w:rPr>
          <w:fldChar w:fldCharType="end"/>
        </w:r>
      </w:hyperlink>
    </w:p>
    <w:p w14:paraId="3FE983D9" w14:textId="2292FD95" w:rsidR="00B06AEE" w:rsidRDefault="00AD37FE">
      <w:pPr>
        <w:pStyle w:val="TOC2"/>
        <w:tabs>
          <w:tab w:val="right" w:leader="dot" w:pos="8494"/>
        </w:tabs>
        <w:rPr>
          <w:rFonts w:ascii="彩虹粗仿宋" w:eastAsia="彩虹粗仿宋" w:hAnsi="宋体"/>
          <w:noProof/>
          <w:sz w:val="28"/>
        </w:rPr>
      </w:pPr>
      <w:hyperlink w:anchor="_Toc124325888" w:history="1">
        <w:r>
          <w:rPr>
            <w:rStyle w:val="Hyperlink"/>
            <w:rFonts w:ascii="彩虹粗仿宋" w:eastAsia="彩虹粗仿宋" w:hAnsi="宋体" w:hint="eastAsia"/>
            <w:noProof/>
            <w:sz w:val="28"/>
            <w:szCs w:val="32"/>
          </w:rPr>
          <w:t>四、基金管理人对基金托管人的业务核查</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_Toc124325888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7</w:t>
        </w:r>
        <w:r>
          <w:rPr>
            <w:rFonts w:ascii="彩虹粗仿宋" w:eastAsia="彩虹粗仿宋" w:hAnsi="宋体" w:hint="eastAsia"/>
            <w:noProof/>
            <w:sz w:val="28"/>
          </w:rPr>
          <w:fldChar w:fldCharType="end"/>
        </w:r>
      </w:hyperlink>
    </w:p>
    <w:p w14:paraId="7C7400AF" w14:textId="049CF124" w:rsidR="00B06AEE" w:rsidRDefault="00AD37FE">
      <w:pPr>
        <w:pStyle w:val="TOC2"/>
        <w:tabs>
          <w:tab w:val="right" w:leader="dot" w:pos="8494"/>
        </w:tabs>
        <w:rPr>
          <w:rFonts w:ascii="彩虹粗仿宋" w:eastAsia="彩虹粗仿宋" w:hAnsi="宋体"/>
          <w:noProof/>
          <w:sz w:val="28"/>
        </w:rPr>
      </w:pPr>
      <w:hyperlink w:anchor="_Toc124325889" w:history="1">
        <w:r>
          <w:rPr>
            <w:rStyle w:val="Hyperlink"/>
            <w:rFonts w:ascii="彩虹粗仿宋" w:eastAsia="彩虹粗仿宋" w:hAnsi="宋体" w:hint="eastAsia"/>
            <w:noProof/>
            <w:sz w:val="28"/>
            <w:szCs w:val="32"/>
          </w:rPr>
          <w:t>五、基金财产的保管</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_Toc124325889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7</w:t>
        </w:r>
        <w:r>
          <w:rPr>
            <w:rFonts w:ascii="彩虹粗仿宋" w:eastAsia="彩虹粗仿宋" w:hAnsi="宋体" w:hint="eastAsia"/>
            <w:noProof/>
            <w:sz w:val="28"/>
          </w:rPr>
          <w:fldChar w:fldCharType="end"/>
        </w:r>
      </w:hyperlink>
    </w:p>
    <w:p w14:paraId="094B319D" w14:textId="1556F2A8" w:rsidR="00B06AEE" w:rsidRDefault="00AD37FE">
      <w:pPr>
        <w:pStyle w:val="TOC2"/>
        <w:tabs>
          <w:tab w:val="right" w:leader="dot" w:pos="8494"/>
        </w:tabs>
        <w:rPr>
          <w:rFonts w:ascii="彩虹粗仿宋" w:eastAsia="彩虹粗仿宋" w:hAnsi="宋体"/>
          <w:noProof/>
          <w:sz w:val="28"/>
        </w:rPr>
      </w:pPr>
      <w:hyperlink w:anchor="_Toc124325890" w:history="1">
        <w:r>
          <w:rPr>
            <w:rStyle w:val="Hyperlink"/>
            <w:rFonts w:ascii="彩虹粗仿宋" w:eastAsia="彩虹粗仿宋" w:hAnsi="宋体" w:hint="eastAsia"/>
            <w:noProof/>
            <w:sz w:val="28"/>
            <w:szCs w:val="32"/>
          </w:rPr>
          <w:t>六、指令的发送、确认及执行</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_Toc124325890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10</w:t>
        </w:r>
        <w:r>
          <w:rPr>
            <w:rFonts w:ascii="彩虹粗仿宋" w:eastAsia="彩虹粗仿宋" w:hAnsi="宋体" w:hint="eastAsia"/>
            <w:noProof/>
            <w:sz w:val="28"/>
          </w:rPr>
          <w:fldChar w:fldCharType="end"/>
        </w:r>
      </w:hyperlink>
    </w:p>
    <w:p w14:paraId="24BB0737" w14:textId="0C1FF40D" w:rsidR="00B06AEE" w:rsidRDefault="00AD37FE">
      <w:pPr>
        <w:pStyle w:val="TOC2"/>
        <w:tabs>
          <w:tab w:val="right" w:leader="dot" w:pos="8494"/>
        </w:tabs>
        <w:rPr>
          <w:rFonts w:ascii="彩虹粗仿宋" w:eastAsia="彩虹粗仿宋" w:hAnsi="宋体"/>
          <w:noProof/>
          <w:sz w:val="28"/>
        </w:rPr>
      </w:pPr>
      <w:hyperlink w:anchor="_Toc124325891" w:history="1">
        <w:r>
          <w:rPr>
            <w:rStyle w:val="Hyperlink"/>
            <w:rFonts w:ascii="彩虹粗仿宋" w:eastAsia="彩虹粗仿宋" w:hAnsi="宋体" w:hint="eastAsia"/>
            <w:noProof/>
            <w:sz w:val="28"/>
            <w:szCs w:val="32"/>
          </w:rPr>
          <w:t>七、交易及清算交收安排</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_Toc124325891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13</w:t>
        </w:r>
        <w:r>
          <w:rPr>
            <w:rFonts w:ascii="彩虹粗仿宋" w:eastAsia="彩虹粗仿宋" w:hAnsi="宋体" w:hint="eastAsia"/>
            <w:noProof/>
            <w:sz w:val="28"/>
          </w:rPr>
          <w:fldChar w:fldCharType="end"/>
        </w:r>
      </w:hyperlink>
    </w:p>
    <w:p w14:paraId="36107EC8" w14:textId="50DED462" w:rsidR="00B06AEE" w:rsidRDefault="00AD37FE">
      <w:pPr>
        <w:pStyle w:val="TOC2"/>
        <w:tabs>
          <w:tab w:val="right" w:leader="dot" w:pos="8494"/>
        </w:tabs>
        <w:rPr>
          <w:rFonts w:ascii="彩虹粗仿宋" w:eastAsia="彩虹粗仿宋" w:hAnsi="宋体"/>
          <w:noProof/>
          <w:sz w:val="28"/>
        </w:rPr>
      </w:pPr>
      <w:hyperlink w:anchor="_Toc124325892" w:history="1">
        <w:r>
          <w:rPr>
            <w:rStyle w:val="Hyperlink"/>
            <w:rFonts w:ascii="彩虹粗仿宋" w:eastAsia="彩虹粗仿宋" w:hAnsi="宋体" w:hint="eastAsia"/>
            <w:noProof/>
            <w:sz w:val="28"/>
            <w:szCs w:val="32"/>
          </w:rPr>
          <w:t>八、基金资产净值计算和会计核算</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_Toc124325892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15</w:t>
        </w:r>
        <w:r>
          <w:rPr>
            <w:rFonts w:ascii="彩虹粗仿宋" w:eastAsia="彩虹粗仿宋" w:hAnsi="宋体" w:hint="eastAsia"/>
            <w:noProof/>
            <w:sz w:val="28"/>
          </w:rPr>
          <w:fldChar w:fldCharType="end"/>
        </w:r>
      </w:hyperlink>
    </w:p>
    <w:p w14:paraId="31DC822B" w14:textId="360FEF5D" w:rsidR="00B06AEE" w:rsidRDefault="00AD37FE">
      <w:pPr>
        <w:pStyle w:val="TOC2"/>
        <w:tabs>
          <w:tab w:val="right" w:leader="dot" w:pos="8494"/>
        </w:tabs>
        <w:rPr>
          <w:rFonts w:ascii="彩虹粗仿宋" w:eastAsia="彩虹粗仿宋" w:hAnsi="宋体"/>
          <w:noProof/>
          <w:sz w:val="28"/>
        </w:rPr>
      </w:pPr>
      <w:hyperlink w:anchor="_Toc124325893" w:history="1">
        <w:r>
          <w:rPr>
            <w:rStyle w:val="Hyperlink"/>
            <w:rFonts w:ascii="彩虹粗仿宋" w:eastAsia="彩虹粗仿宋" w:hAnsi="宋体" w:hint="eastAsia"/>
            <w:noProof/>
            <w:sz w:val="28"/>
            <w:szCs w:val="32"/>
          </w:rPr>
          <w:t>九、基金收益分配</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_Toc124325893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19</w:t>
        </w:r>
        <w:r>
          <w:rPr>
            <w:rFonts w:ascii="彩虹粗仿宋" w:eastAsia="彩虹粗仿宋" w:hAnsi="宋体" w:hint="eastAsia"/>
            <w:noProof/>
            <w:sz w:val="28"/>
          </w:rPr>
          <w:fldChar w:fldCharType="end"/>
        </w:r>
      </w:hyperlink>
    </w:p>
    <w:p w14:paraId="737A7858" w14:textId="1B5EBF60" w:rsidR="00B06AEE" w:rsidRDefault="00AD37FE">
      <w:pPr>
        <w:pStyle w:val="TOC2"/>
        <w:tabs>
          <w:tab w:val="right" w:leader="dot" w:pos="8494"/>
        </w:tabs>
        <w:rPr>
          <w:rFonts w:ascii="彩虹粗仿宋" w:eastAsia="彩虹粗仿宋" w:hAnsi="宋体"/>
          <w:noProof/>
          <w:sz w:val="28"/>
        </w:rPr>
      </w:pPr>
      <w:hyperlink w:anchor="_Toc124325894" w:history="1">
        <w:r>
          <w:rPr>
            <w:rStyle w:val="Hyperlink"/>
            <w:rFonts w:ascii="彩虹粗仿宋" w:eastAsia="彩虹粗仿宋" w:hAnsi="宋体" w:hint="eastAsia"/>
            <w:noProof/>
            <w:sz w:val="28"/>
            <w:szCs w:val="32"/>
          </w:rPr>
          <w:t>十、基金信息披露</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_Toc124325894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19</w:t>
        </w:r>
        <w:r>
          <w:rPr>
            <w:rFonts w:ascii="彩虹粗仿宋" w:eastAsia="彩虹粗仿宋" w:hAnsi="宋体" w:hint="eastAsia"/>
            <w:noProof/>
            <w:sz w:val="28"/>
          </w:rPr>
          <w:fldChar w:fldCharType="end"/>
        </w:r>
      </w:hyperlink>
    </w:p>
    <w:p w14:paraId="3C67C82C" w14:textId="43E1F681" w:rsidR="00B06AEE" w:rsidRDefault="00AD37FE">
      <w:pPr>
        <w:pStyle w:val="TOC2"/>
        <w:tabs>
          <w:tab w:val="right" w:leader="dot" w:pos="8494"/>
        </w:tabs>
        <w:rPr>
          <w:rFonts w:ascii="彩虹粗仿宋" w:eastAsia="彩虹粗仿宋" w:hAnsi="宋体"/>
          <w:noProof/>
          <w:sz w:val="28"/>
        </w:rPr>
      </w:pPr>
      <w:hyperlink w:anchor="_Toc124325895" w:history="1">
        <w:r>
          <w:rPr>
            <w:rStyle w:val="Hyperlink"/>
            <w:rFonts w:ascii="彩虹粗仿宋" w:eastAsia="彩虹粗仿宋" w:hAnsi="宋体" w:hint="eastAsia"/>
            <w:noProof/>
            <w:sz w:val="28"/>
            <w:szCs w:val="32"/>
          </w:rPr>
          <w:t>十一、基金费用</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_Toc124325895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21</w:t>
        </w:r>
        <w:r>
          <w:rPr>
            <w:rFonts w:ascii="彩虹粗仿宋" w:eastAsia="彩虹粗仿宋" w:hAnsi="宋体" w:hint="eastAsia"/>
            <w:noProof/>
            <w:sz w:val="28"/>
          </w:rPr>
          <w:fldChar w:fldCharType="end"/>
        </w:r>
      </w:hyperlink>
    </w:p>
    <w:p w14:paraId="747711BA" w14:textId="02A31241" w:rsidR="00B06AEE" w:rsidRDefault="00AD37FE">
      <w:pPr>
        <w:pStyle w:val="TOC2"/>
        <w:tabs>
          <w:tab w:val="right" w:leader="dot" w:pos="8494"/>
        </w:tabs>
        <w:rPr>
          <w:rFonts w:ascii="彩虹粗仿宋" w:eastAsia="彩虹粗仿宋" w:hAnsi="宋体"/>
          <w:noProof/>
          <w:sz w:val="28"/>
        </w:rPr>
      </w:pPr>
      <w:hyperlink w:anchor="_Toc124325896" w:history="1">
        <w:r>
          <w:rPr>
            <w:rStyle w:val="Hyperlink"/>
            <w:rFonts w:ascii="彩虹粗仿宋" w:eastAsia="彩虹粗仿宋" w:hAnsi="宋体" w:hint="eastAsia"/>
            <w:noProof/>
            <w:sz w:val="28"/>
            <w:szCs w:val="32"/>
          </w:rPr>
          <w:t>十二、基金份额持有人名册的保管</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_Toc124325896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22</w:t>
        </w:r>
        <w:r>
          <w:rPr>
            <w:rFonts w:ascii="彩虹粗仿宋" w:eastAsia="彩虹粗仿宋" w:hAnsi="宋体" w:hint="eastAsia"/>
            <w:noProof/>
            <w:sz w:val="28"/>
          </w:rPr>
          <w:fldChar w:fldCharType="end"/>
        </w:r>
      </w:hyperlink>
    </w:p>
    <w:p w14:paraId="16F0134B" w14:textId="41421830" w:rsidR="00B06AEE" w:rsidRDefault="00AD37FE">
      <w:pPr>
        <w:pStyle w:val="TOC2"/>
        <w:tabs>
          <w:tab w:val="right" w:leader="dot" w:pos="8494"/>
        </w:tabs>
        <w:rPr>
          <w:rFonts w:ascii="彩虹粗仿宋" w:eastAsia="彩虹粗仿宋" w:hAnsi="宋体"/>
          <w:noProof/>
          <w:sz w:val="28"/>
        </w:rPr>
      </w:pPr>
      <w:hyperlink w:anchor="_Toc124325897" w:history="1">
        <w:r>
          <w:rPr>
            <w:rStyle w:val="Hyperlink"/>
            <w:rFonts w:ascii="彩虹粗仿宋" w:eastAsia="彩虹粗仿宋" w:hAnsi="宋体" w:hint="eastAsia"/>
            <w:noProof/>
            <w:sz w:val="28"/>
            <w:szCs w:val="32"/>
          </w:rPr>
          <w:t>十三、基金有关文件档案的保存</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_Toc124325897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23</w:t>
        </w:r>
        <w:r>
          <w:rPr>
            <w:rFonts w:ascii="彩虹粗仿宋" w:eastAsia="彩虹粗仿宋" w:hAnsi="宋体" w:hint="eastAsia"/>
            <w:noProof/>
            <w:sz w:val="28"/>
          </w:rPr>
          <w:fldChar w:fldCharType="end"/>
        </w:r>
      </w:hyperlink>
    </w:p>
    <w:p w14:paraId="1320EE81" w14:textId="3ECBF07C" w:rsidR="00B06AEE" w:rsidRDefault="00AD37FE">
      <w:pPr>
        <w:pStyle w:val="TOC2"/>
        <w:tabs>
          <w:tab w:val="right" w:leader="dot" w:pos="8494"/>
        </w:tabs>
        <w:rPr>
          <w:rFonts w:ascii="彩虹粗仿宋" w:eastAsia="彩虹粗仿宋" w:hAnsi="宋体"/>
          <w:noProof/>
          <w:sz w:val="28"/>
        </w:rPr>
      </w:pPr>
      <w:hyperlink w:anchor="_Toc124325898" w:history="1">
        <w:r>
          <w:rPr>
            <w:rStyle w:val="Hyperlink"/>
            <w:rFonts w:ascii="彩虹粗仿宋" w:eastAsia="彩虹粗仿宋" w:hAnsi="宋体" w:hint="eastAsia"/>
            <w:noProof/>
            <w:sz w:val="28"/>
            <w:szCs w:val="32"/>
          </w:rPr>
          <w:t>十四、基金管理人和基金托管人的更换</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_Toc124325898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23</w:t>
        </w:r>
        <w:r>
          <w:rPr>
            <w:rFonts w:ascii="彩虹粗仿宋" w:eastAsia="彩虹粗仿宋" w:hAnsi="宋体" w:hint="eastAsia"/>
            <w:noProof/>
            <w:sz w:val="28"/>
          </w:rPr>
          <w:fldChar w:fldCharType="end"/>
        </w:r>
      </w:hyperlink>
    </w:p>
    <w:p w14:paraId="716A7E90" w14:textId="786C292A" w:rsidR="00B06AEE" w:rsidRDefault="00AD37FE">
      <w:pPr>
        <w:pStyle w:val="TOC2"/>
        <w:tabs>
          <w:tab w:val="right" w:leader="dot" w:pos="8494"/>
        </w:tabs>
        <w:rPr>
          <w:rFonts w:ascii="彩虹粗仿宋" w:eastAsia="彩虹粗仿宋" w:hAnsi="宋体"/>
          <w:noProof/>
          <w:sz w:val="28"/>
        </w:rPr>
      </w:pPr>
      <w:hyperlink w:anchor="_Toc124325899" w:history="1">
        <w:r>
          <w:rPr>
            <w:rStyle w:val="Hyperlink"/>
            <w:rFonts w:ascii="彩虹粗仿宋" w:eastAsia="彩虹粗仿宋" w:hAnsi="宋体" w:hint="eastAsia"/>
            <w:noProof/>
            <w:sz w:val="28"/>
            <w:szCs w:val="32"/>
          </w:rPr>
          <w:t>十五、禁止行为</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_Toc124325899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25</w:t>
        </w:r>
        <w:r>
          <w:rPr>
            <w:rFonts w:ascii="彩虹粗仿宋" w:eastAsia="彩虹粗仿宋" w:hAnsi="宋体" w:hint="eastAsia"/>
            <w:noProof/>
            <w:sz w:val="28"/>
          </w:rPr>
          <w:fldChar w:fldCharType="end"/>
        </w:r>
      </w:hyperlink>
    </w:p>
    <w:p w14:paraId="1D8640E4" w14:textId="78CC76C3" w:rsidR="00B06AEE" w:rsidRDefault="00AD37FE">
      <w:pPr>
        <w:pStyle w:val="TOC2"/>
        <w:tabs>
          <w:tab w:val="right" w:leader="dot" w:pos="8494"/>
        </w:tabs>
        <w:rPr>
          <w:rFonts w:ascii="彩虹粗仿宋" w:eastAsia="彩虹粗仿宋" w:hAnsi="宋体"/>
          <w:noProof/>
          <w:sz w:val="28"/>
        </w:rPr>
      </w:pPr>
      <w:hyperlink w:anchor="_Toc124325900" w:history="1">
        <w:r>
          <w:rPr>
            <w:rStyle w:val="Hyperlink"/>
            <w:rFonts w:ascii="彩虹粗仿宋" w:eastAsia="彩虹粗仿宋" w:hAnsi="宋体" w:hint="eastAsia"/>
            <w:noProof/>
            <w:sz w:val="28"/>
            <w:szCs w:val="32"/>
          </w:rPr>
          <w:t>十六、托管协议的变更、终止与基金财产的清算</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_Toc124325900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26</w:t>
        </w:r>
        <w:r>
          <w:rPr>
            <w:rFonts w:ascii="彩虹粗仿宋" w:eastAsia="彩虹粗仿宋" w:hAnsi="宋体" w:hint="eastAsia"/>
            <w:noProof/>
            <w:sz w:val="28"/>
          </w:rPr>
          <w:fldChar w:fldCharType="end"/>
        </w:r>
      </w:hyperlink>
    </w:p>
    <w:p w14:paraId="427437EE" w14:textId="415C93B3" w:rsidR="00B06AEE" w:rsidRDefault="00AD37FE">
      <w:pPr>
        <w:pStyle w:val="TOC2"/>
        <w:tabs>
          <w:tab w:val="right" w:leader="dot" w:pos="8494"/>
        </w:tabs>
        <w:rPr>
          <w:rFonts w:ascii="彩虹粗仿宋" w:eastAsia="彩虹粗仿宋" w:hAnsi="宋体"/>
          <w:noProof/>
          <w:sz w:val="28"/>
        </w:rPr>
      </w:pPr>
      <w:hyperlink w:anchor="_Toc124325901" w:history="1">
        <w:r>
          <w:rPr>
            <w:rStyle w:val="Hyperlink"/>
            <w:rFonts w:ascii="彩虹粗仿宋" w:eastAsia="彩虹粗仿宋" w:hAnsi="宋体" w:hint="eastAsia"/>
            <w:noProof/>
            <w:sz w:val="28"/>
            <w:szCs w:val="32"/>
          </w:rPr>
          <w:t>十七、违约责任</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_Toc124325901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28</w:t>
        </w:r>
        <w:r>
          <w:rPr>
            <w:rFonts w:ascii="彩虹粗仿宋" w:eastAsia="彩虹粗仿宋" w:hAnsi="宋体" w:hint="eastAsia"/>
            <w:noProof/>
            <w:sz w:val="28"/>
          </w:rPr>
          <w:fldChar w:fldCharType="end"/>
        </w:r>
      </w:hyperlink>
    </w:p>
    <w:p w14:paraId="7F927BC6" w14:textId="5962E0C2" w:rsidR="00B06AEE" w:rsidRDefault="00AD37FE">
      <w:pPr>
        <w:pStyle w:val="TOC2"/>
        <w:tabs>
          <w:tab w:val="right" w:leader="dot" w:pos="8494"/>
        </w:tabs>
        <w:rPr>
          <w:rFonts w:ascii="彩虹粗仿宋" w:eastAsia="彩虹粗仿宋" w:hAnsi="宋体"/>
          <w:noProof/>
          <w:sz w:val="28"/>
        </w:rPr>
      </w:pPr>
      <w:hyperlink w:anchor="_Toc124325902" w:history="1">
        <w:r>
          <w:rPr>
            <w:rStyle w:val="Hyperlink"/>
            <w:rFonts w:ascii="彩虹粗仿宋" w:eastAsia="彩虹粗仿宋" w:hAnsi="宋体" w:hint="eastAsia"/>
            <w:noProof/>
            <w:sz w:val="28"/>
            <w:szCs w:val="32"/>
          </w:rPr>
          <w:t>十八、争议解决方式</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_Toc124325902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28</w:t>
        </w:r>
        <w:r>
          <w:rPr>
            <w:rFonts w:ascii="彩虹粗仿宋" w:eastAsia="彩虹粗仿宋" w:hAnsi="宋体" w:hint="eastAsia"/>
            <w:noProof/>
            <w:sz w:val="28"/>
          </w:rPr>
          <w:fldChar w:fldCharType="end"/>
        </w:r>
      </w:hyperlink>
    </w:p>
    <w:p w14:paraId="31A364B9" w14:textId="455764ED" w:rsidR="00B06AEE" w:rsidRDefault="00AD37FE">
      <w:pPr>
        <w:pStyle w:val="TOC2"/>
        <w:tabs>
          <w:tab w:val="right" w:leader="dot" w:pos="8494"/>
        </w:tabs>
        <w:rPr>
          <w:rFonts w:ascii="彩虹粗仿宋" w:eastAsia="彩虹粗仿宋" w:hAnsi="宋体"/>
          <w:noProof/>
          <w:sz w:val="28"/>
        </w:rPr>
      </w:pPr>
      <w:hyperlink w:anchor="_Toc124325903" w:history="1">
        <w:r>
          <w:rPr>
            <w:rStyle w:val="Hyperlink"/>
            <w:rFonts w:ascii="彩虹粗仿宋" w:eastAsia="彩虹粗仿宋" w:hAnsi="宋体" w:hint="eastAsia"/>
            <w:noProof/>
            <w:sz w:val="28"/>
            <w:szCs w:val="32"/>
          </w:rPr>
          <w:t>十九、托管协议的效力</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_Toc124325903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29</w:t>
        </w:r>
        <w:r>
          <w:rPr>
            <w:rFonts w:ascii="彩虹粗仿宋" w:eastAsia="彩虹粗仿宋" w:hAnsi="宋体" w:hint="eastAsia"/>
            <w:noProof/>
            <w:sz w:val="28"/>
          </w:rPr>
          <w:fldChar w:fldCharType="end"/>
        </w:r>
      </w:hyperlink>
    </w:p>
    <w:p w14:paraId="645BE88B" w14:textId="4246684B" w:rsidR="00B06AEE" w:rsidRDefault="00AD37FE">
      <w:pPr>
        <w:pStyle w:val="TOC2"/>
        <w:tabs>
          <w:tab w:val="right" w:leader="dot" w:pos="8494"/>
        </w:tabs>
        <w:rPr>
          <w:rFonts w:ascii="彩虹粗仿宋" w:eastAsia="彩虹粗仿宋" w:hAnsi="宋体"/>
          <w:noProof/>
          <w:sz w:val="28"/>
        </w:rPr>
      </w:pPr>
      <w:hyperlink w:anchor="_Toc124325904" w:history="1">
        <w:r>
          <w:rPr>
            <w:rStyle w:val="Hyperlink"/>
            <w:rFonts w:ascii="彩虹粗仿宋" w:eastAsia="彩虹粗仿宋" w:hAnsi="宋体" w:hint="eastAsia"/>
            <w:noProof/>
            <w:sz w:val="28"/>
            <w:szCs w:val="32"/>
          </w:rPr>
          <w:t>二十、其他事项</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_Toc124325904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29</w:t>
        </w:r>
        <w:r>
          <w:rPr>
            <w:rFonts w:ascii="彩虹粗仿宋" w:eastAsia="彩虹粗仿宋" w:hAnsi="宋体" w:hint="eastAsia"/>
            <w:noProof/>
            <w:sz w:val="28"/>
          </w:rPr>
          <w:fldChar w:fldCharType="end"/>
        </w:r>
      </w:hyperlink>
    </w:p>
    <w:p w14:paraId="34F50672" w14:textId="18793E18" w:rsidR="00B06AEE" w:rsidRDefault="00AD37FE">
      <w:pPr>
        <w:pStyle w:val="TOC2"/>
        <w:tabs>
          <w:tab w:val="right" w:leader="dot" w:pos="8494"/>
        </w:tabs>
        <w:rPr>
          <w:rFonts w:ascii="彩虹粗仿宋" w:eastAsia="彩虹粗仿宋" w:hAnsi="宋体"/>
          <w:noProof/>
          <w:sz w:val="28"/>
        </w:rPr>
      </w:pPr>
      <w:hyperlink w:anchor="_Toc124325905" w:history="1">
        <w:r>
          <w:rPr>
            <w:rStyle w:val="Hyperlink"/>
            <w:rFonts w:ascii="彩虹粗仿宋" w:eastAsia="彩虹粗仿宋" w:hAnsi="宋体" w:hint="eastAsia"/>
            <w:noProof/>
            <w:sz w:val="28"/>
            <w:szCs w:val="32"/>
          </w:rPr>
          <w:t>二十一、托管协议的签订</w:t>
        </w:r>
        <w:r>
          <w:rPr>
            <w:rFonts w:ascii="彩虹粗仿宋" w:eastAsia="彩虹粗仿宋" w:hAnsi="宋体" w:hint="eastAsia"/>
            <w:noProof/>
            <w:sz w:val="28"/>
          </w:rPr>
          <w:tab/>
        </w:r>
        <w:r>
          <w:rPr>
            <w:rFonts w:ascii="彩虹粗仿宋" w:eastAsia="彩虹粗仿宋" w:hAnsi="宋体" w:hint="eastAsia"/>
            <w:noProof/>
            <w:sz w:val="28"/>
          </w:rPr>
          <w:fldChar w:fldCharType="begin"/>
        </w:r>
        <w:r>
          <w:rPr>
            <w:rFonts w:ascii="彩虹粗仿宋" w:eastAsia="彩虹粗仿宋" w:hAnsi="宋体" w:hint="eastAsia"/>
            <w:noProof/>
            <w:sz w:val="28"/>
          </w:rPr>
          <w:instrText xml:space="preserve"> PAGEREF _Toc124325905 \h </w:instrText>
        </w:r>
        <w:r>
          <w:rPr>
            <w:rFonts w:ascii="彩虹粗仿宋" w:eastAsia="彩虹粗仿宋" w:hAnsi="宋体" w:hint="eastAsia"/>
            <w:noProof/>
            <w:sz w:val="28"/>
          </w:rPr>
        </w:r>
        <w:r>
          <w:rPr>
            <w:rFonts w:ascii="彩虹粗仿宋" w:eastAsia="彩虹粗仿宋" w:hAnsi="宋体" w:hint="eastAsia"/>
            <w:noProof/>
            <w:sz w:val="28"/>
          </w:rPr>
          <w:fldChar w:fldCharType="separate"/>
        </w:r>
        <w:r w:rsidR="00537F87">
          <w:rPr>
            <w:rFonts w:ascii="彩虹粗仿宋" w:eastAsia="彩虹粗仿宋" w:hAnsi="宋体"/>
            <w:noProof/>
            <w:sz w:val="28"/>
          </w:rPr>
          <w:t>29</w:t>
        </w:r>
        <w:r>
          <w:rPr>
            <w:rFonts w:ascii="彩虹粗仿宋" w:eastAsia="彩虹粗仿宋" w:hAnsi="宋体" w:hint="eastAsia"/>
            <w:noProof/>
            <w:sz w:val="28"/>
          </w:rPr>
          <w:fldChar w:fldCharType="end"/>
        </w:r>
      </w:hyperlink>
    </w:p>
    <w:p w14:paraId="3705171C" w14:textId="77777777" w:rsidR="00B06AEE" w:rsidRDefault="00AD37FE">
      <w:pPr>
        <w:rPr>
          <w:rFonts w:ascii="彩虹粗仿宋" w:eastAsia="彩虹粗仿宋"/>
          <w:sz w:val="24"/>
        </w:rPr>
      </w:pPr>
      <w:r>
        <w:rPr>
          <w:rFonts w:ascii="彩虹粗仿宋" w:eastAsia="彩虹粗仿宋" w:hAnsi="宋体" w:hint="eastAsia"/>
          <w:sz w:val="28"/>
        </w:rPr>
        <w:lastRenderedPageBreak/>
        <w:fldChar w:fldCharType="end"/>
      </w:r>
    </w:p>
    <w:p w14:paraId="595462E3" w14:textId="77777777" w:rsidR="00B06AEE" w:rsidRDefault="00AD37FE">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鉴于贝莱德基金管理有限公司系一家依照中国法律合法成立并有效存续的有限责任公司，按照相关法律法规的规定具备担任基金管理人的资格和能力，拟募集发行证券投资基金；</w:t>
      </w:r>
    </w:p>
    <w:p w14:paraId="156296E1" w14:textId="77777777" w:rsidR="00B06AEE" w:rsidRDefault="00AD37FE">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鉴于中国建设银行股份有限公司系一家依照中国法律合法成立并有效存续的银行，按照相关法律法规的规定具备担任基金托管人的资格和能力；</w:t>
      </w:r>
    </w:p>
    <w:p w14:paraId="0242E53F" w14:textId="77777777" w:rsidR="00B06AEE" w:rsidRDefault="00AD37FE">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鉴于贝莱德基金管理有限公司拟担任证券投资基金的基金管理人，中国建设银行股份有限公司拟担任证券投资基金的基金托管人；</w:t>
      </w:r>
    </w:p>
    <w:p w14:paraId="5B615B81" w14:textId="6D422FEB" w:rsidR="00B06AEE" w:rsidRDefault="00AD37FE">
      <w:pPr>
        <w:widowControl/>
        <w:adjustRightInd w:val="0"/>
        <w:snapToGrid w:val="0"/>
        <w:ind w:firstLineChars="200" w:firstLine="480"/>
        <w:rPr>
          <w:rFonts w:ascii="彩虹粗仿宋" w:eastAsia="彩虹粗仿宋" w:hAnsi="宋体" w:cs="Arial"/>
          <w:kern w:val="0"/>
          <w:sz w:val="24"/>
        </w:rPr>
      </w:pPr>
      <w:r>
        <w:rPr>
          <w:rFonts w:ascii="彩虹粗仿宋" w:eastAsia="彩虹粗仿宋" w:hAnsi="宋体" w:cs="Arial" w:hint="eastAsia"/>
          <w:kern w:val="0"/>
          <w:sz w:val="24"/>
        </w:rPr>
        <w:t>为明确</w:t>
      </w:r>
      <w:r w:rsidR="009B7CB4">
        <w:rPr>
          <w:rFonts w:ascii="彩虹粗仿宋" w:eastAsia="彩虹粗仿宋" w:hAnsi="宋体" w:cs="Arial" w:hint="eastAsia"/>
          <w:kern w:val="0"/>
          <w:sz w:val="24"/>
        </w:rPr>
        <w:t>贝莱德稳利63个月封闭式债券型证券投资基金</w:t>
      </w:r>
      <w:r>
        <w:rPr>
          <w:rFonts w:ascii="彩虹粗仿宋" w:eastAsia="彩虹粗仿宋" w:hAnsi="宋体" w:cs="Arial" w:hint="eastAsia"/>
          <w:kern w:val="0"/>
          <w:sz w:val="24"/>
        </w:rPr>
        <w:t>的基金管理人和基金托管人之间的权利义务关系，特制订本托管协议；</w:t>
      </w:r>
    </w:p>
    <w:p w14:paraId="410057DB" w14:textId="01959769" w:rsidR="00B06AEE" w:rsidRDefault="00AD37FE">
      <w:pPr>
        <w:widowControl/>
        <w:adjustRightInd w:val="0"/>
        <w:snapToGrid w:val="0"/>
        <w:ind w:firstLineChars="200" w:firstLine="480"/>
        <w:rPr>
          <w:rFonts w:ascii="彩虹粗仿宋" w:eastAsia="彩虹粗仿宋" w:hAnsi="宋体" w:cs="Arial"/>
          <w:kern w:val="0"/>
          <w:sz w:val="24"/>
          <w:lang w:val="en-GB"/>
        </w:rPr>
      </w:pPr>
      <w:r>
        <w:rPr>
          <w:rFonts w:ascii="彩虹粗仿宋" w:eastAsia="彩虹粗仿宋" w:hAnsi="宋体" w:cs="Arial" w:hint="eastAsia"/>
          <w:kern w:val="0"/>
          <w:sz w:val="24"/>
          <w:lang w:val="en-GB"/>
        </w:rPr>
        <w:t>除非另有约定，《</w:t>
      </w:r>
      <w:r w:rsidR="009B7CB4">
        <w:rPr>
          <w:rFonts w:ascii="彩虹粗仿宋" w:eastAsia="彩虹粗仿宋" w:hAnsi="宋体" w:cs="Arial" w:hint="eastAsia"/>
          <w:kern w:val="0"/>
          <w:sz w:val="24"/>
        </w:rPr>
        <w:t>贝莱德稳利63个月封闭式债券型证券投资基金</w:t>
      </w:r>
      <w:r>
        <w:rPr>
          <w:rFonts w:ascii="彩虹粗仿宋" w:eastAsia="彩虹粗仿宋" w:hAnsi="宋体" w:cs="Arial" w:hint="eastAsia"/>
          <w:kern w:val="0"/>
          <w:sz w:val="24"/>
          <w:lang w:val="en-GB"/>
        </w:rPr>
        <w:t>基金合同》(以下简称“《基金合同》”)中定义的术语在用于本托管协议时应具有相同的含义；若有抵触应以《基金合同》为准，并依其</w:t>
      </w:r>
      <w:r>
        <w:rPr>
          <w:rFonts w:ascii="彩虹粗仿宋" w:eastAsia="彩虹粗仿宋" w:hAnsi="宋体" w:cs="Arial" w:hint="eastAsia"/>
          <w:kern w:val="0"/>
          <w:sz w:val="24"/>
        </w:rPr>
        <w:t>条款</w:t>
      </w:r>
      <w:r>
        <w:rPr>
          <w:rFonts w:ascii="彩虹粗仿宋" w:eastAsia="彩虹粗仿宋" w:hAnsi="宋体" w:cs="Arial" w:hint="eastAsia"/>
          <w:kern w:val="0"/>
          <w:sz w:val="24"/>
          <w:lang w:val="en-GB"/>
        </w:rPr>
        <w:t>解释。</w:t>
      </w:r>
    </w:p>
    <w:p w14:paraId="734FB756" w14:textId="77777777" w:rsidR="00B06AEE" w:rsidRDefault="00B06AEE">
      <w:pPr>
        <w:rPr>
          <w:rFonts w:ascii="彩虹粗仿宋" w:eastAsia="彩虹粗仿宋"/>
          <w:sz w:val="24"/>
          <w:lang w:val="en-GB"/>
        </w:rPr>
      </w:pPr>
    </w:p>
    <w:p w14:paraId="54396350" w14:textId="77777777" w:rsidR="00B06AEE" w:rsidRDefault="00AD37FE">
      <w:pPr>
        <w:pStyle w:val="Heading2"/>
        <w:jc w:val="center"/>
        <w:rPr>
          <w:rFonts w:ascii="彩虹粗仿宋" w:eastAsia="彩虹粗仿宋"/>
        </w:rPr>
      </w:pPr>
      <w:bookmarkStart w:id="0" w:name="_Toc124325885"/>
      <w:r>
        <w:rPr>
          <w:rFonts w:ascii="彩虹粗仿宋" w:eastAsia="彩虹粗仿宋" w:hint="eastAsia"/>
        </w:rPr>
        <w:t>一、基金托管协议当事人</w:t>
      </w:r>
      <w:bookmarkEnd w:id="0"/>
    </w:p>
    <w:p w14:paraId="38A3E4A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（一）基金管理人</w:t>
      </w:r>
    </w:p>
    <w:p w14:paraId="0288C14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名称：贝莱德基金管理有限公司</w:t>
      </w:r>
    </w:p>
    <w:p w14:paraId="536B810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住所：中国（上海）自由贸易试验区陆家嘴环路1233号汇亚大厦7楼702室</w:t>
      </w:r>
    </w:p>
    <w:p w14:paraId="5E40F6C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办公地址：中国（上海）自由贸易试验区陆家嘴环路1233号汇亚大厦7楼702室</w:t>
      </w:r>
    </w:p>
    <w:p w14:paraId="7D47307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邮政编码：</w:t>
      </w:r>
      <w:r>
        <w:rPr>
          <w:rFonts w:ascii="彩虹粗仿宋" w:eastAsia="彩虹粗仿宋" w:hAnsi="宋体" w:cs="Arial"/>
          <w:sz w:val="24"/>
        </w:rPr>
        <w:t>200120</w:t>
      </w:r>
    </w:p>
    <w:p w14:paraId="2F1B23B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法定代表人：郁蓓华</w:t>
      </w:r>
    </w:p>
    <w:p w14:paraId="3F35FF4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成立日期：2020年09月10日</w:t>
      </w:r>
    </w:p>
    <w:p w14:paraId="158EC11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批准设立机关及批准设立文号：中国证监会证监许可〔2020〕1917号</w:t>
      </w:r>
    </w:p>
    <w:p w14:paraId="2092BD6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组织形式：有限责任公司</w:t>
      </w:r>
    </w:p>
    <w:p w14:paraId="3879637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注册资本：人民币</w:t>
      </w:r>
      <w:r>
        <w:rPr>
          <w:rFonts w:ascii="彩虹粗仿宋" w:eastAsia="彩虹粗仿宋" w:hAnsi="宋体" w:cs="Arial"/>
          <w:sz w:val="24"/>
        </w:rPr>
        <w:t>1</w:t>
      </w:r>
      <w:r>
        <w:rPr>
          <w:rFonts w:ascii="彩虹粗仿宋" w:eastAsia="彩虹粗仿宋" w:hAnsi="宋体" w:cs="Arial" w:hint="eastAsia"/>
          <w:sz w:val="24"/>
        </w:rPr>
        <w:t>4</w:t>
      </w:r>
      <w:r>
        <w:rPr>
          <w:rFonts w:ascii="彩虹粗仿宋" w:eastAsia="彩虹粗仿宋" w:hAnsi="宋体" w:cs="Arial"/>
          <w:sz w:val="24"/>
        </w:rPr>
        <w:t>.5</w:t>
      </w:r>
      <w:r>
        <w:rPr>
          <w:rFonts w:ascii="彩虹粗仿宋" w:eastAsia="彩虹粗仿宋" w:hAnsi="宋体" w:cs="Arial" w:hint="eastAsia"/>
          <w:sz w:val="24"/>
        </w:rPr>
        <w:t>亿元</w:t>
      </w:r>
    </w:p>
    <w:p w14:paraId="23E9FC3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存续期间：持续经营</w:t>
      </w:r>
    </w:p>
    <w:p w14:paraId="627E7D7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经营范围：公开募集证券投资基金管理、基金销售、私募资产管理和中国证监会许可的其他业务。</w:t>
      </w:r>
    </w:p>
    <w:p w14:paraId="29A0E945"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（二）基金托管人</w:t>
      </w:r>
    </w:p>
    <w:p w14:paraId="1D21D32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名称：中国建设银行股份有限公司</w:t>
      </w:r>
      <w:proofErr w:type="gramStart"/>
      <w:r>
        <w:rPr>
          <w:rFonts w:ascii="彩虹粗仿宋" w:eastAsia="彩虹粗仿宋" w:hAnsi="宋体" w:cs="Arial" w:hint="eastAsia"/>
          <w:sz w:val="24"/>
        </w:rPr>
        <w:t>(简称</w:t>
      </w:r>
      <w:proofErr w:type="gramEnd"/>
      <w:r>
        <w:rPr>
          <w:rFonts w:ascii="彩虹粗仿宋" w:eastAsia="彩虹粗仿宋" w:hAnsi="宋体" w:cs="Arial" w:hint="eastAsia"/>
          <w:sz w:val="24"/>
        </w:rPr>
        <w:t>：中国建设</w:t>
      </w:r>
      <w:proofErr w:type="gramStart"/>
      <w:r>
        <w:rPr>
          <w:rFonts w:ascii="彩虹粗仿宋" w:eastAsia="彩虹粗仿宋" w:hAnsi="宋体" w:cs="Arial" w:hint="eastAsia"/>
          <w:sz w:val="24"/>
        </w:rPr>
        <w:t>银行)</w:t>
      </w:r>
      <w:proofErr w:type="gramEnd"/>
    </w:p>
    <w:p w14:paraId="35AD9BB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住所：北京市西城区金融大街25号</w:t>
      </w:r>
    </w:p>
    <w:p w14:paraId="603C7A1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办公地址：北京市西城区闹市口大街1号院1号楼</w:t>
      </w:r>
    </w:p>
    <w:p w14:paraId="0B2411A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邮政编码：100033</w:t>
      </w:r>
    </w:p>
    <w:p w14:paraId="01C5287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法定代表人：张金良</w:t>
      </w:r>
    </w:p>
    <w:p w14:paraId="03ADB1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成立日期：2004年09月17日</w:t>
      </w:r>
    </w:p>
    <w:p w14:paraId="3975A63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基金托管业务批准文号：中国证监会证监基字[1998</w:t>
      </w:r>
      <w:bookmarkStart w:id="1" w:name="OLE_LINK3"/>
      <w:r>
        <w:rPr>
          <w:rFonts w:ascii="彩虹粗仿宋" w:eastAsia="彩虹粗仿宋" w:hAnsi="宋体" w:cs="Arial" w:hint="eastAsia"/>
          <w:sz w:val="24"/>
        </w:rPr>
        <w:t>]</w:t>
      </w:r>
      <w:bookmarkEnd w:id="1"/>
      <w:r>
        <w:rPr>
          <w:rFonts w:ascii="彩虹粗仿宋" w:eastAsia="彩虹粗仿宋" w:hAnsi="宋体" w:cs="Arial" w:hint="eastAsia"/>
          <w:sz w:val="24"/>
        </w:rPr>
        <w:t>12号</w:t>
      </w:r>
    </w:p>
    <w:p w14:paraId="71756A4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组织形式：股份有限公司</w:t>
      </w:r>
    </w:p>
    <w:p w14:paraId="407AF119" w14:textId="4A8009DF"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注册资本：</w:t>
      </w:r>
      <w:r w:rsidR="003E17D8" w:rsidRPr="003E17D8">
        <w:rPr>
          <w:rFonts w:ascii="彩虹粗仿宋" w:eastAsia="彩虹粗仿宋" w:hAnsi="宋体" w:cs="Arial"/>
          <w:sz w:val="24"/>
        </w:rPr>
        <w:t>贰仟陆佰壹拾陆亿叁拾捌万壹仟肆佰伍拾玖元整</w:t>
      </w:r>
    </w:p>
    <w:p w14:paraId="478014B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存续期间：持续经营</w:t>
      </w:r>
    </w:p>
    <w:p w14:paraId="17A67E27" w14:textId="77777777" w:rsidR="00B06AEE" w:rsidRDefault="00AD37FE">
      <w:pPr>
        <w:tabs>
          <w:tab w:val="left" w:pos="540"/>
        </w:tabs>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14:paraId="69426C51" w14:textId="77777777" w:rsidR="00B06AEE" w:rsidRDefault="00B06AEE">
      <w:pPr>
        <w:rPr>
          <w:rFonts w:ascii="彩虹粗仿宋" w:eastAsia="彩虹粗仿宋"/>
          <w:sz w:val="24"/>
        </w:rPr>
      </w:pPr>
    </w:p>
    <w:p w14:paraId="34424A93" w14:textId="77777777" w:rsidR="00B06AEE" w:rsidRDefault="00AD37FE">
      <w:pPr>
        <w:pStyle w:val="Heading2"/>
        <w:jc w:val="center"/>
        <w:rPr>
          <w:rFonts w:ascii="彩虹粗仿宋" w:eastAsia="彩虹粗仿宋"/>
          <w:sz w:val="30"/>
        </w:rPr>
      </w:pPr>
      <w:bookmarkStart w:id="2" w:name="_Toc124325886"/>
      <w:r>
        <w:rPr>
          <w:rFonts w:ascii="彩虹粗仿宋" w:eastAsia="彩虹粗仿宋" w:hint="eastAsia"/>
          <w:sz w:val="30"/>
        </w:rPr>
        <w:t>二、基金托管协议的依据、目的和原则</w:t>
      </w:r>
      <w:bookmarkEnd w:id="2"/>
    </w:p>
    <w:p w14:paraId="6E33B980" w14:textId="77777777" w:rsidR="00B06AEE" w:rsidRDefault="00AD37FE">
      <w:pPr>
        <w:adjustRightInd w:val="0"/>
        <w:snapToGrid w:val="0"/>
        <w:ind w:firstLineChars="200" w:firstLine="480"/>
        <w:rPr>
          <w:rFonts w:ascii="彩虹粗仿宋" w:eastAsia="彩虹粗仿宋"/>
          <w:sz w:val="24"/>
          <w:szCs w:val="30"/>
        </w:rPr>
      </w:pPr>
      <w:r>
        <w:rPr>
          <w:rFonts w:ascii="彩虹粗仿宋" w:eastAsia="彩虹粗仿宋" w:hAnsi="宋体" w:cs="Arial" w:hint="eastAsia"/>
          <w:sz w:val="24"/>
        </w:rPr>
        <w:t>（一）订立托管协议的依据</w:t>
      </w:r>
    </w:p>
    <w:p w14:paraId="5160440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本协议依据《中华人民共和国证券投资基金法》</w:t>
      </w:r>
      <w:proofErr w:type="gramStart"/>
      <w:r>
        <w:rPr>
          <w:rFonts w:ascii="彩虹粗仿宋" w:eastAsia="彩虹粗仿宋" w:hAnsi="宋体" w:cs="Arial" w:hint="eastAsia"/>
          <w:sz w:val="24"/>
        </w:rPr>
        <w:t>(以下</w:t>
      </w:r>
      <w:proofErr w:type="gramEnd"/>
      <w:r>
        <w:rPr>
          <w:rFonts w:ascii="彩虹粗仿宋" w:eastAsia="彩虹粗仿宋" w:hAnsi="宋体" w:cs="Arial" w:hint="eastAsia"/>
          <w:sz w:val="24"/>
        </w:rPr>
        <w:t>简称“《基金法》”)等有关法律法规、《基金合同》及其他有关规定制订。</w:t>
      </w:r>
    </w:p>
    <w:p w14:paraId="751DD8C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（二）订立托管协议的目的</w:t>
      </w:r>
    </w:p>
    <w:p w14:paraId="1511C174" w14:textId="77777777" w:rsidR="00B06AEE" w:rsidRDefault="00AD37FE">
      <w:pPr>
        <w:adjustRightInd w:val="0"/>
        <w:snapToGrid w:val="0"/>
        <w:ind w:firstLineChars="200" w:firstLine="480"/>
        <w:rPr>
          <w:rFonts w:ascii="彩虹粗仿宋" w:eastAsia="彩虹粗仿宋"/>
          <w:sz w:val="24"/>
          <w:szCs w:val="30"/>
        </w:rPr>
      </w:pPr>
      <w:r>
        <w:rPr>
          <w:rFonts w:ascii="彩虹粗仿宋" w:eastAsia="彩虹粗仿宋" w:hAnsi="宋体" w:cs="Arial" w:hint="eastAsia"/>
          <w:sz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14:paraId="6537487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（三）订立托管协议的原则</w:t>
      </w:r>
    </w:p>
    <w:p w14:paraId="14E5034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基金管理人和基金托管人本着平等自愿、诚实信用、充分保护基金份额持有人合法权益的原则，经协商一致，签订本协议。</w:t>
      </w:r>
    </w:p>
    <w:p w14:paraId="30BCB90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（四</w:t>
      </w:r>
      <w:proofErr w:type="gramStart"/>
      <w:r>
        <w:rPr>
          <w:rFonts w:ascii="彩虹粗仿宋" w:eastAsia="彩虹粗仿宋" w:hAnsi="宋体" w:cs="Arial" w:hint="eastAsia"/>
          <w:sz w:val="24"/>
        </w:rPr>
        <w:t>） 免责</w:t>
      </w:r>
      <w:proofErr w:type="gramEnd"/>
      <w:r>
        <w:rPr>
          <w:rFonts w:ascii="彩虹粗仿宋" w:eastAsia="彩虹粗仿宋" w:hAnsi="宋体" w:cs="Arial" w:hint="eastAsia"/>
          <w:sz w:val="24"/>
        </w:rPr>
        <w:t xml:space="preserve">声明 </w:t>
      </w:r>
    </w:p>
    <w:p w14:paraId="531223E5"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基金托管人开展托管业务，不得承担以下职责：</w:t>
      </w:r>
    </w:p>
    <w:p w14:paraId="79F7DB6F"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1.承担基金财产的信用风险、市场风险等；</w:t>
      </w:r>
    </w:p>
    <w:p w14:paraId="34AA29F6"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2.为基金提供直接或间接、显性或隐性担保，包括承诺本金或保证收益；</w:t>
      </w:r>
    </w:p>
    <w:p w14:paraId="7F1886EC"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lastRenderedPageBreak/>
        <w:t>3.为基金垫付资金、提供流动性支持或融资承诺等；</w:t>
      </w:r>
    </w:p>
    <w:p w14:paraId="6AFD13A7"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4.参与投资者适当性管理；</w:t>
      </w:r>
    </w:p>
    <w:p w14:paraId="09E7DAB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5.保证投资项目及交易信息真实性；</w:t>
      </w:r>
    </w:p>
    <w:p w14:paraId="1EBD76DE"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6.保证基金资金来源的合法合规性；</w:t>
      </w:r>
    </w:p>
    <w:p w14:paraId="6585EFD3"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7.对已划出托管账户以及处于基金托管人实际控制之外的资产承担保管责任；</w:t>
      </w:r>
    </w:p>
    <w:p w14:paraId="5E4E4EF0"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8.参与基金管理人对基金的投资决策；</w:t>
      </w:r>
    </w:p>
    <w:p w14:paraId="7D372C7E"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9.违规代替基金管理人向其他机构或者个人进行基金信息披露或提供相关数据信息；</w:t>
      </w:r>
    </w:p>
    <w:p w14:paraId="48B2DFC6"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10.基金管理人未接受基金托管人的复核意见进行信息披露产生的相应责任；</w:t>
      </w:r>
    </w:p>
    <w:p w14:paraId="113F8E77"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11.负责未兑付产品的资金追偿、财产保全、诉讼仲裁、债务重组和破产程序等，法律另有规定的除外；</w:t>
      </w:r>
    </w:p>
    <w:p w14:paraId="4E493569" w14:textId="5F854E4A"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12.因不可抗力，以及非基金托管人履职错误或过失造成的托管资产损失；</w:t>
      </w:r>
    </w:p>
    <w:p w14:paraId="6992D03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13.国务院金融监管部门规定的不属于基金托管人托管业务范围的其他职责。</w:t>
      </w:r>
    </w:p>
    <w:p w14:paraId="404B9EDC" w14:textId="77777777" w:rsidR="00B06AEE" w:rsidRDefault="00B06AEE">
      <w:pPr>
        <w:rPr>
          <w:rFonts w:ascii="彩虹粗仿宋" w:eastAsia="彩虹粗仿宋"/>
          <w:sz w:val="24"/>
        </w:rPr>
      </w:pPr>
    </w:p>
    <w:p w14:paraId="301A2A93" w14:textId="77777777" w:rsidR="00B06AEE" w:rsidRDefault="00AD37FE">
      <w:pPr>
        <w:pStyle w:val="Heading2"/>
        <w:jc w:val="center"/>
        <w:rPr>
          <w:rFonts w:ascii="彩虹粗仿宋" w:eastAsia="彩虹粗仿宋"/>
          <w:sz w:val="30"/>
          <w:szCs w:val="24"/>
        </w:rPr>
      </w:pPr>
      <w:bookmarkStart w:id="3" w:name="_Toc124325887"/>
      <w:r>
        <w:rPr>
          <w:rFonts w:ascii="彩虹粗仿宋" w:eastAsia="彩虹粗仿宋" w:hint="eastAsia"/>
          <w:sz w:val="30"/>
        </w:rPr>
        <w:t>三、基金托管人对基金管理人的业务监督和核查</w:t>
      </w:r>
      <w:bookmarkEnd w:id="3"/>
    </w:p>
    <w:p w14:paraId="76E01C45" w14:textId="356A6209"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（一）基金托管人根据有关法律法规的规定及《基金合同》的约定，对基金投资范围、投资对象进行监督。</w:t>
      </w:r>
      <w:bookmarkStart w:id="4" w:name="_Hlk87825917"/>
    </w:p>
    <w:p w14:paraId="0EA97F3A" w14:textId="60866A48"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的投资范围为具有良好流动性的债券（国债、金融债、企业债、公司债、央行票据、中期票据、短期融资券、超短期融资券、地方政府债、次级债等）、资产支持证券、债券回购、同业存单、银行存款等法律法规或中国证监会允许基金投资的其他金融工具（但须符合中国证监会的相关规定）。</w:t>
      </w:r>
    </w:p>
    <w:p w14:paraId="178286C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本基金不投资于股票，也不投资于可转换债券、可交换债券。</w:t>
      </w:r>
    </w:p>
    <w:p w14:paraId="057A18D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如法律法规或监管机构以后允许基金投资其他品种，基金管理人在履行适当程序后，可以将其纳入投资范围，并可依据届时有效的法律法规适时合理地调整投资范围。</w:t>
      </w:r>
    </w:p>
    <w:p w14:paraId="381732E4" w14:textId="1FA8494A"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基金的投资组合比例为：本基金对债券的投资比例不低于基金资产的80%，但在封闭期结束前三个月，基金投资不受上述比例限制。</w:t>
      </w:r>
    </w:p>
    <w:p w14:paraId="6D081F4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如法律法规或监管机构变更上述投资品种的比例限制，在履行适当程序后，以变更后的比例为准，本基金的投资比例将相应调整。</w:t>
      </w:r>
    </w:p>
    <w:p w14:paraId="6BA5E24D" w14:textId="77777777" w:rsidR="00B06AEE" w:rsidRDefault="00AD37FE">
      <w:pPr>
        <w:adjustRightInd w:val="0"/>
        <w:snapToGrid w:val="0"/>
        <w:ind w:firstLineChars="200" w:firstLine="480"/>
        <w:rPr>
          <w:rFonts w:ascii="彩虹粗仿宋" w:eastAsia="彩虹粗仿宋"/>
          <w:sz w:val="24"/>
        </w:rPr>
      </w:pPr>
      <w:r>
        <w:rPr>
          <w:rFonts w:ascii="彩虹粗仿宋" w:eastAsia="彩虹粗仿宋" w:hint="eastAsia"/>
          <w:sz w:val="24"/>
        </w:rPr>
        <w:t>（二）基金托管人根据有关法律法规的规定及《基金合同》的约定，对基金投资、融资比例进行监督。基金托管人按下述比例和调整期限进行监督：</w:t>
      </w:r>
    </w:p>
    <w:p w14:paraId="55E7A4A0" w14:textId="77777777" w:rsidR="00B06AEE" w:rsidRDefault="00AD37FE">
      <w:pPr>
        <w:adjustRightInd w:val="0"/>
        <w:snapToGrid w:val="0"/>
        <w:ind w:firstLineChars="200" w:firstLine="480"/>
        <w:rPr>
          <w:rFonts w:ascii="彩虹粗仿宋" w:eastAsia="彩虹粗仿宋"/>
          <w:i/>
          <w:sz w:val="24"/>
        </w:rPr>
      </w:pPr>
      <w:r>
        <w:rPr>
          <w:rFonts w:ascii="彩虹粗仿宋" w:eastAsia="彩虹粗仿宋" w:hint="eastAsia"/>
          <w:i/>
          <w:sz w:val="24"/>
        </w:rPr>
        <w:lastRenderedPageBreak/>
        <w:t>根据《基金合同》的约定，本基金投资组合比例应符合以下规定：</w:t>
      </w:r>
    </w:p>
    <w:p w14:paraId="32A36352" w14:textId="77777777" w:rsidR="00B06AEE" w:rsidRDefault="00AD37FE">
      <w:pPr>
        <w:adjustRightInd w:val="0"/>
        <w:snapToGrid w:val="0"/>
        <w:ind w:firstLineChars="200" w:firstLine="480"/>
        <w:rPr>
          <w:rFonts w:ascii="彩虹粗仿宋" w:eastAsia="彩虹粗仿宋"/>
          <w:sz w:val="24"/>
        </w:rPr>
      </w:pPr>
      <w:r>
        <w:rPr>
          <w:rFonts w:ascii="彩虹粗仿宋" w:eastAsia="彩虹粗仿宋" w:hint="eastAsia"/>
          <w:sz w:val="24"/>
        </w:rPr>
        <w:t>1.在封闭期内，本基金投资的各类金融工具的到期日（或回售日）不得晚于封闭期的最后一日；</w:t>
      </w:r>
    </w:p>
    <w:p w14:paraId="4126086C" w14:textId="77777777" w:rsidR="00B06AEE" w:rsidRDefault="00AD37FE">
      <w:pPr>
        <w:adjustRightInd w:val="0"/>
        <w:snapToGrid w:val="0"/>
        <w:ind w:firstLineChars="200" w:firstLine="480"/>
        <w:rPr>
          <w:rFonts w:ascii="彩虹粗仿宋" w:eastAsia="彩虹粗仿宋"/>
          <w:sz w:val="24"/>
        </w:rPr>
      </w:pPr>
      <w:r>
        <w:rPr>
          <w:rFonts w:ascii="彩虹粗仿宋" w:eastAsia="彩虹粗仿宋" w:hint="eastAsia"/>
          <w:sz w:val="24"/>
        </w:rPr>
        <w:t>2.本基金对债券的投资比例不低于基金资产的80%，但在封闭期结束前三个月，本基金债券资产的投资比例不受上述比例限制；</w:t>
      </w:r>
    </w:p>
    <w:p w14:paraId="74B0CEDA" w14:textId="28B9C116"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3</w:t>
      </w:r>
      <w:r w:rsidR="00AD37FE">
        <w:rPr>
          <w:rFonts w:ascii="彩虹粗仿宋" w:eastAsia="彩虹粗仿宋" w:hint="eastAsia"/>
          <w:sz w:val="24"/>
        </w:rPr>
        <w:t>.本基金持有一家公司发行的证券，其市值不超过基金资产净值的10%；</w:t>
      </w:r>
    </w:p>
    <w:p w14:paraId="3DFC679F" w14:textId="79312BAD"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4</w:t>
      </w:r>
      <w:r w:rsidR="00AD37FE">
        <w:rPr>
          <w:rFonts w:ascii="彩虹粗仿宋" w:eastAsia="彩虹粗仿宋" w:hint="eastAsia"/>
          <w:sz w:val="24"/>
        </w:rPr>
        <w:t>.本基金管理人管理</w:t>
      </w:r>
      <w:r w:rsidR="00AD37FE" w:rsidRPr="00E365A8">
        <w:rPr>
          <w:rFonts w:ascii="彩虹粗仿宋" w:eastAsia="彩虹粗仿宋" w:hint="eastAsia"/>
          <w:sz w:val="24"/>
        </w:rPr>
        <w:t>的</w:t>
      </w:r>
      <w:r w:rsidR="00AD37FE" w:rsidRPr="0003058F">
        <w:rPr>
          <w:rFonts w:ascii="彩虹粗仿宋" w:eastAsia="彩虹粗仿宋" w:hint="eastAsia"/>
          <w:sz w:val="24"/>
        </w:rPr>
        <w:t>且在本基金托管人处托管的</w:t>
      </w:r>
      <w:r w:rsidR="00AD37FE">
        <w:rPr>
          <w:rFonts w:ascii="彩虹粗仿宋" w:eastAsia="彩虹粗仿宋" w:hint="eastAsia"/>
          <w:sz w:val="24"/>
        </w:rPr>
        <w:t>全部基金持有一家公司发行的证券，不超过该证券的10%，完全按照有关指数的构成比例进行证券投资的基金品种可以不受此条款规定的比例限制；</w:t>
      </w:r>
    </w:p>
    <w:p w14:paraId="1720244B" w14:textId="6E657F03"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5</w:t>
      </w:r>
      <w:r w:rsidR="00AD37FE">
        <w:rPr>
          <w:rFonts w:ascii="彩虹粗仿宋" w:eastAsia="彩虹粗仿宋" w:hint="eastAsia"/>
          <w:sz w:val="24"/>
        </w:rPr>
        <w:t>.本基金投资于同一原始权益人的各类资产支持证券的比例，不得超过基金资产净值的10%；</w:t>
      </w:r>
    </w:p>
    <w:p w14:paraId="471D0971" w14:textId="46C676F9"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6</w:t>
      </w:r>
      <w:r w:rsidR="00AD37FE">
        <w:rPr>
          <w:rFonts w:ascii="彩虹粗仿宋" w:eastAsia="彩虹粗仿宋" w:hint="eastAsia"/>
          <w:sz w:val="24"/>
        </w:rPr>
        <w:t>.本基金持有的全部资产支持证券，其市值不得超过基金资产净值的20%；</w:t>
      </w:r>
    </w:p>
    <w:p w14:paraId="400016BB" w14:textId="46CF030D"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7</w:t>
      </w:r>
      <w:r w:rsidR="00AD37FE">
        <w:rPr>
          <w:rFonts w:ascii="彩虹粗仿宋" w:eastAsia="彩虹粗仿宋" w:hint="eastAsia"/>
          <w:sz w:val="24"/>
        </w:rPr>
        <w:t>.本基金持有的同一</w:t>
      </w:r>
      <w:proofErr w:type="gramStart"/>
      <w:r w:rsidR="00AD37FE">
        <w:rPr>
          <w:rFonts w:ascii="彩虹粗仿宋" w:eastAsia="彩虹粗仿宋" w:hint="eastAsia"/>
          <w:sz w:val="24"/>
        </w:rPr>
        <w:t>(指同一信用级别)</w:t>
      </w:r>
      <w:proofErr w:type="gramEnd"/>
      <w:r w:rsidR="00AD37FE">
        <w:rPr>
          <w:rFonts w:ascii="彩虹粗仿宋" w:eastAsia="彩虹粗仿宋" w:hint="eastAsia"/>
          <w:sz w:val="24"/>
        </w:rPr>
        <w:t>资产支持证券的比例，不得超过该资产支持证券规模的10%；</w:t>
      </w:r>
    </w:p>
    <w:p w14:paraId="5E74E63D" w14:textId="0EB4E656"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8</w:t>
      </w:r>
      <w:r w:rsidR="00AD37FE">
        <w:rPr>
          <w:rFonts w:ascii="彩虹粗仿宋" w:eastAsia="彩虹粗仿宋" w:hint="eastAsia"/>
          <w:sz w:val="24"/>
        </w:rPr>
        <w:t>.本基金管理人</w:t>
      </w:r>
      <w:r w:rsidR="00AD37FE" w:rsidRPr="00E365A8">
        <w:rPr>
          <w:rFonts w:ascii="彩虹粗仿宋" w:eastAsia="彩虹粗仿宋" w:hint="eastAsia"/>
          <w:sz w:val="24"/>
        </w:rPr>
        <w:t>管理的</w:t>
      </w:r>
      <w:r w:rsidR="00AD37FE" w:rsidRPr="0003058F">
        <w:rPr>
          <w:rFonts w:ascii="彩虹粗仿宋" w:eastAsia="彩虹粗仿宋" w:hint="eastAsia"/>
          <w:sz w:val="24"/>
        </w:rPr>
        <w:t>且在本基金托管人处托管的</w:t>
      </w:r>
      <w:r w:rsidR="00AD37FE" w:rsidRPr="00E365A8">
        <w:rPr>
          <w:rFonts w:ascii="彩虹粗仿宋" w:eastAsia="彩虹粗仿宋" w:hint="eastAsia"/>
          <w:sz w:val="24"/>
        </w:rPr>
        <w:t>全部</w:t>
      </w:r>
      <w:r w:rsidR="00AD37FE">
        <w:rPr>
          <w:rFonts w:ascii="彩虹粗仿宋" w:eastAsia="彩虹粗仿宋" w:hint="eastAsia"/>
          <w:sz w:val="24"/>
        </w:rPr>
        <w:t>基金投资于同一原始权益人的各类资产支持证券，不得超过其各类资产支持证券合计规模的10%；</w:t>
      </w:r>
    </w:p>
    <w:p w14:paraId="45B197FD" w14:textId="4CF53833"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9</w:t>
      </w:r>
      <w:r w:rsidR="00AD37FE">
        <w:rPr>
          <w:rFonts w:ascii="彩虹粗仿宋" w:eastAsia="彩虹粗仿宋" w:hint="eastAsia"/>
          <w:sz w:val="24"/>
        </w:rPr>
        <w:t>.本基金基金资产总值不得超过基金资产净值的200%；</w:t>
      </w:r>
    </w:p>
    <w:p w14:paraId="5BB7180B" w14:textId="35985797" w:rsidR="00B06AEE" w:rsidRDefault="001122A6">
      <w:pPr>
        <w:adjustRightInd w:val="0"/>
        <w:snapToGrid w:val="0"/>
        <w:ind w:firstLineChars="200" w:firstLine="480"/>
        <w:rPr>
          <w:rFonts w:ascii="彩虹粗仿宋" w:eastAsia="彩虹粗仿宋"/>
          <w:sz w:val="24"/>
        </w:rPr>
      </w:pPr>
      <w:r>
        <w:rPr>
          <w:rFonts w:ascii="彩虹粗仿宋" w:eastAsia="彩虹粗仿宋"/>
          <w:sz w:val="24"/>
        </w:rPr>
        <w:t>10</w:t>
      </w:r>
      <w:r w:rsidR="00AD37FE">
        <w:rPr>
          <w:rFonts w:ascii="彩虹粗仿宋" w:eastAsia="彩虹粗仿宋" w:hint="eastAsia"/>
          <w:sz w:val="24"/>
        </w:rPr>
        <w:t>.法律法规及中国证监会规定的和《基金合同》约定的其他投资限制。</w:t>
      </w:r>
    </w:p>
    <w:p w14:paraId="1A2235BE" w14:textId="786C0400" w:rsidR="00B06AEE" w:rsidRDefault="00AD37FE">
      <w:pPr>
        <w:adjustRightInd w:val="0"/>
        <w:snapToGrid w:val="0"/>
        <w:ind w:firstLineChars="200" w:firstLine="480"/>
        <w:rPr>
          <w:rFonts w:ascii="彩虹粗仿宋" w:eastAsia="彩虹粗仿宋"/>
          <w:sz w:val="24"/>
        </w:rPr>
      </w:pPr>
      <w:r>
        <w:rPr>
          <w:rFonts w:ascii="彩虹粗仿宋" w:eastAsia="彩虹粗仿宋"/>
          <w:sz w:val="24"/>
        </w:rPr>
        <w:t>因证券市场波动、证券发行人合并、基金规模变动等基金管理人之外的因素致使基金投资比例不符合上述规定投资比例的，基金管理人应当在10个交易日内进行调整，但法律法规或中国证监会规定的特殊情形除外。</w:t>
      </w:r>
    </w:p>
    <w:p w14:paraId="2D74790A" w14:textId="77777777" w:rsidR="00B06AEE" w:rsidRDefault="00AD37FE">
      <w:pPr>
        <w:adjustRightInd w:val="0"/>
        <w:snapToGrid w:val="0"/>
        <w:ind w:firstLineChars="200" w:firstLine="480"/>
        <w:rPr>
          <w:rFonts w:ascii="彩虹粗仿宋" w:eastAsia="彩虹粗仿宋"/>
          <w:sz w:val="24"/>
        </w:rPr>
      </w:pPr>
      <w:r>
        <w:rPr>
          <w:rFonts w:ascii="彩虹粗仿宋" w:eastAsia="彩虹粗仿宋" w:hint="eastAsia"/>
          <w:sz w:val="24"/>
        </w:rPr>
        <w:t>基金管理人应当自基金合同生效之日起6个月内使基金的投资组合比例符合基金合同的有关约定。在上述期间内，本基金的投资范围、投资策略应当符合基金合同的约定。基金托管人对基金的投资的监督与检查自基金合同生效之日起开始。</w:t>
      </w:r>
    </w:p>
    <w:p w14:paraId="68544541" w14:textId="77777777" w:rsidR="00B06AEE" w:rsidRDefault="00AD37FE">
      <w:pPr>
        <w:adjustRightInd w:val="0"/>
        <w:snapToGrid w:val="0"/>
        <w:ind w:firstLineChars="200" w:firstLine="480"/>
        <w:rPr>
          <w:rFonts w:ascii="彩虹粗仿宋" w:eastAsia="彩虹粗仿宋"/>
          <w:sz w:val="24"/>
        </w:rPr>
      </w:pPr>
      <w:r>
        <w:rPr>
          <w:rFonts w:ascii="彩虹粗仿宋" w:eastAsia="彩虹粗仿宋" w:hint="eastAsia"/>
          <w:sz w:val="24"/>
        </w:rPr>
        <w:t>法律法规或监管部门取消或变更上述限制，如适用于本基金，基金管理人在履行适当程序后，则本基金投资不再受相关限制或以变更以后的规定为准。</w:t>
      </w:r>
    </w:p>
    <w:bookmarkEnd w:id="4"/>
    <w:p w14:paraId="03F1B98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（三）基金托管人</w:t>
      </w:r>
      <w:bookmarkStart w:id="5" w:name="OLE_LINK1"/>
      <w:r>
        <w:rPr>
          <w:rFonts w:ascii="彩虹粗仿宋" w:eastAsia="彩虹粗仿宋" w:hAnsi="宋体" w:cs="Arial" w:hint="eastAsia"/>
          <w:sz w:val="24"/>
        </w:rPr>
        <w:t>根据有关法律法规的规定及《基金合同》的约定，</w:t>
      </w:r>
      <w:bookmarkEnd w:id="5"/>
      <w:r>
        <w:rPr>
          <w:rFonts w:ascii="彩虹粗仿宋" w:eastAsia="彩虹粗仿宋" w:hAnsi="宋体" w:cs="Arial" w:hint="eastAsia"/>
          <w:sz w:val="24"/>
        </w:rPr>
        <w:t>对本托管协议第十五条第（九）款基金投资禁止行为通过事后监督方式进行监督。</w:t>
      </w:r>
    </w:p>
    <w:p w14:paraId="0131C307" w14:textId="3B0A0379" w:rsidR="00B06AEE" w:rsidRDefault="00AD37FE" w:rsidP="001209B6">
      <w:pPr>
        <w:adjustRightInd w:val="0"/>
        <w:snapToGrid w:val="0"/>
        <w:ind w:firstLineChars="200" w:firstLine="480"/>
        <w:rPr>
          <w:rFonts w:asciiTheme="minorHAnsi" w:eastAsia="彩虹粗仿宋" w:hAnsiTheme="minorHAnsi" w:cs="Arial"/>
        </w:rPr>
      </w:pPr>
      <w:r>
        <w:rPr>
          <w:rFonts w:ascii="彩虹粗仿宋" w:eastAsia="彩虹粗仿宋" w:hAnsi="宋体" w:cs="Arial" w:hint="eastAsia"/>
          <w:sz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w:t>
      </w:r>
      <w:r>
        <w:rPr>
          <w:rFonts w:ascii="彩虹粗仿宋" w:eastAsia="彩虹粗仿宋" w:hAnsi="宋体" w:cs="Arial" w:hint="eastAsia"/>
          <w:sz w:val="24"/>
        </w:rPr>
        <w:lastRenderedPageBreak/>
        <w:t>法规予以披露。重大关联交易应提交基金管理人董事会审议，并经过三分之二以上的独立董事通过。基金管理人董事会应至少每半年对关联交易事项进行审查。</w:t>
      </w:r>
    </w:p>
    <w:p w14:paraId="7F10DB13" w14:textId="1351CBB3"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A64B2C">
        <w:rPr>
          <w:rFonts w:ascii="彩虹粗仿宋" w:eastAsia="彩虹粗仿宋" w:hAnsi="宋体" w:cs="Arial" w:hint="eastAsia"/>
          <w:sz w:val="24"/>
        </w:rPr>
        <w:t>四</w:t>
      </w:r>
      <w:r>
        <w:rPr>
          <w:rFonts w:ascii="彩虹粗仿宋" w:eastAsia="彩虹粗仿宋" w:hAnsi="宋体" w:cs="Arial" w:hint="eastAsia"/>
          <w:sz w:val="24"/>
        </w:rPr>
        <w:t>）基金托管人根据有关法律法规的规定及《基金合同》的约定，对基金资产净值计算、基金份额净值计算、应收资金到账、基金费用开支及收入确定、基金收益分配、相关信息披露、基金宣传推介材料中登载基金业绩表现数据等进行监督和核查。</w:t>
      </w:r>
    </w:p>
    <w:p w14:paraId="44B157EC" w14:textId="583B05C3" w:rsidR="0091264A" w:rsidRDefault="00AD37FE" w:rsidP="0091264A">
      <w:pPr>
        <w:adjustRightInd w:val="0"/>
        <w:snapToGrid w:val="0"/>
        <w:ind w:firstLineChars="200" w:firstLine="480"/>
      </w:pPr>
      <w:r>
        <w:rPr>
          <w:rFonts w:ascii="彩虹粗仿宋" w:eastAsia="彩虹粗仿宋" w:hAnsi="宋体" w:cs="Arial" w:hint="eastAsia"/>
          <w:sz w:val="24"/>
        </w:rPr>
        <w:t>（</w:t>
      </w:r>
      <w:r w:rsidR="00A64B2C">
        <w:rPr>
          <w:rFonts w:ascii="彩虹粗仿宋" w:eastAsia="彩虹粗仿宋" w:hAnsi="宋体" w:cs="Arial" w:hint="eastAsia"/>
          <w:sz w:val="24"/>
        </w:rPr>
        <w:t>五</w:t>
      </w:r>
      <w:r>
        <w:rPr>
          <w:rFonts w:ascii="彩虹粗仿宋" w:eastAsia="彩虹粗仿宋" w:hAnsi="宋体" w:cs="Arial" w:hint="eastAsia"/>
          <w:sz w:val="24"/>
        </w:rPr>
        <w:t>）</w:t>
      </w:r>
      <w:r w:rsidR="0091264A" w:rsidRPr="001209B6">
        <w:rPr>
          <w:rFonts w:ascii="彩虹粗仿宋" w:eastAsia="彩虹粗仿宋" w:hAnsi="宋体" w:cs="Arial" w:hint="eastAsia"/>
          <w:sz w:val="24"/>
        </w:rPr>
        <w:t>基金托管人投资监督的准确性和完整性受限于基金管理人、证券经纪商及其他中介机构提供的数据和信息。基金托管人在充分获取所必需数据信息的前提下提供投资监督服务。</w:t>
      </w:r>
    </w:p>
    <w:p w14:paraId="6286C17D" w14:textId="6B58DC2F"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14:paraId="66B9C08F" w14:textId="676A0976"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A64B2C">
        <w:rPr>
          <w:rFonts w:ascii="彩虹粗仿宋" w:eastAsia="彩虹粗仿宋" w:hAnsi="宋体" w:cs="Arial" w:hint="eastAsia"/>
          <w:sz w:val="24"/>
        </w:rPr>
        <w:t>六</w:t>
      </w:r>
      <w:r>
        <w:rPr>
          <w:rFonts w:ascii="彩虹粗仿宋" w:eastAsia="彩虹粗仿宋" w:hAnsi="宋体" w:cs="Arial" w:hint="eastAsia"/>
          <w:sz w:val="24"/>
        </w:rPr>
        <w:t>）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基金托管人依法应获悉的数据资料和制度等。</w:t>
      </w:r>
    </w:p>
    <w:p w14:paraId="7F1D1A38" w14:textId="32CAC298"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A64B2C">
        <w:rPr>
          <w:rFonts w:ascii="彩虹粗仿宋" w:eastAsia="彩虹粗仿宋" w:hAnsi="宋体" w:cs="Arial" w:hint="eastAsia"/>
          <w:sz w:val="24"/>
        </w:rPr>
        <w:t>七</w:t>
      </w:r>
      <w:r>
        <w:rPr>
          <w:rFonts w:ascii="彩虹粗仿宋" w:eastAsia="彩虹粗仿宋" w:hAnsi="宋体" w:cs="Arial" w:hint="eastAsia"/>
          <w:sz w:val="24"/>
        </w:rPr>
        <w:t>）若基金托管人发现基金管理人依据交易程序已经生效的投资指令违反法律、行政法规和其他有关规定，或者《基金合同》约定的，应当及时通知基金管理人，由此造成的损失由基金管理人承担。</w:t>
      </w:r>
    </w:p>
    <w:p w14:paraId="1A83C23E" w14:textId="10C3269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A64B2C">
        <w:rPr>
          <w:rFonts w:ascii="彩虹粗仿宋" w:eastAsia="彩虹粗仿宋" w:hAnsi="宋体" w:cs="Arial" w:hint="eastAsia"/>
          <w:sz w:val="24"/>
        </w:rPr>
        <w:t>八</w:t>
      </w:r>
      <w:r>
        <w:rPr>
          <w:rFonts w:ascii="彩虹粗仿宋" w:eastAsia="彩虹粗仿宋" w:hAnsi="宋体" w:cs="Arial" w:hint="eastAsia"/>
          <w:sz w:val="24"/>
        </w:rPr>
        <w:t>）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14:paraId="4BBF8D94" w14:textId="77777777" w:rsidR="00B06AEE" w:rsidRDefault="00B06AEE">
      <w:pPr>
        <w:rPr>
          <w:rFonts w:ascii="彩虹粗仿宋" w:eastAsia="彩虹粗仿宋"/>
          <w:sz w:val="24"/>
        </w:rPr>
      </w:pPr>
    </w:p>
    <w:p w14:paraId="0EA7446E" w14:textId="77777777" w:rsidR="00B06AEE" w:rsidRDefault="00AD37FE">
      <w:pPr>
        <w:pStyle w:val="Heading2"/>
        <w:jc w:val="center"/>
        <w:rPr>
          <w:rFonts w:ascii="彩虹粗仿宋" w:eastAsia="彩虹粗仿宋"/>
          <w:sz w:val="30"/>
        </w:rPr>
      </w:pPr>
      <w:bookmarkStart w:id="6" w:name="_Toc86737929"/>
      <w:bookmarkStart w:id="7" w:name="_Toc120435783"/>
      <w:bookmarkStart w:id="8" w:name="_Toc110765660"/>
      <w:bookmarkStart w:id="9" w:name="_Toc86649722"/>
      <w:bookmarkStart w:id="10" w:name="_Toc119402710"/>
      <w:bookmarkStart w:id="11" w:name="_Toc110761796"/>
      <w:bookmarkStart w:id="12" w:name="_Toc86223242"/>
      <w:bookmarkStart w:id="13" w:name="_Toc110830492"/>
      <w:bookmarkStart w:id="14" w:name="_Toc86727355"/>
      <w:bookmarkStart w:id="15" w:name="_Toc118212950"/>
      <w:bookmarkStart w:id="16" w:name="_Toc118972648"/>
      <w:bookmarkStart w:id="17" w:name="_Toc118774803"/>
      <w:bookmarkStart w:id="18" w:name="_Toc89163368"/>
      <w:bookmarkStart w:id="19" w:name="_Toc124325888"/>
      <w:bookmarkStart w:id="20" w:name="_Toc86225291"/>
      <w:bookmarkStart w:id="21" w:name="_Toc108512358"/>
      <w:bookmarkStart w:id="22" w:name="_Toc86726439"/>
      <w:r>
        <w:rPr>
          <w:rFonts w:ascii="彩虹粗仿宋" w:eastAsia="彩虹粗仿宋" w:hint="eastAsia"/>
          <w:sz w:val="30"/>
        </w:rPr>
        <w:lastRenderedPageBreak/>
        <w:t>四、基金管理人对基金托管人的业务核查</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14:paraId="41F8E563"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管理人对基金托管人履行托管职责情况进行核查，核查事项包括但不限于基金托管人安全保管基金财产、开设基金财产的资金账户和证券账户等投资所需账户、复核基金管理人计算的基金资产净值和基金份额净值、根据基金管理人指令办理清算交收、相关信息披露和监督基金投资运作等行为。</w:t>
      </w:r>
    </w:p>
    <w:p w14:paraId="0484CE00"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包括但不限于电子邮件形式）通知基金托管人限期纠正。基金托管人收到通知后应及时核对并以书面形式（包括但不限于电子邮件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供基金管理人核查托管财产的完整性、准确性和真实性，在规定时间内答复基金管理人并改正。</w:t>
      </w:r>
    </w:p>
    <w:p w14:paraId="75DF90F7"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14:paraId="1CC95210" w14:textId="77777777" w:rsidR="00B06AEE" w:rsidRDefault="00B06AEE">
      <w:pPr>
        <w:rPr>
          <w:rFonts w:ascii="彩虹粗仿宋" w:eastAsia="彩虹粗仿宋"/>
          <w:sz w:val="24"/>
        </w:rPr>
      </w:pPr>
    </w:p>
    <w:p w14:paraId="725DECE0" w14:textId="77777777" w:rsidR="00B06AEE" w:rsidRDefault="00AD37FE">
      <w:pPr>
        <w:pStyle w:val="Heading2"/>
        <w:jc w:val="center"/>
        <w:rPr>
          <w:rFonts w:ascii="彩虹粗仿宋" w:eastAsia="彩虹粗仿宋"/>
          <w:sz w:val="30"/>
        </w:rPr>
      </w:pPr>
      <w:bookmarkStart w:id="23" w:name="_Toc118972649"/>
      <w:bookmarkStart w:id="24" w:name="_Toc84234435"/>
      <w:bookmarkStart w:id="25" w:name="_Toc119402711"/>
      <w:bookmarkStart w:id="26" w:name="_Toc86223243"/>
      <w:bookmarkStart w:id="27" w:name="_Toc86727356"/>
      <w:bookmarkStart w:id="28" w:name="_Toc86737930"/>
      <w:bookmarkStart w:id="29" w:name="_Toc84234388"/>
      <w:bookmarkStart w:id="30" w:name="_Toc120435784"/>
      <w:bookmarkStart w:id="31" w:name="_Toc110830493"/>
      <w:bookmarkStart w:id="32" w:name="_Toc110761797"/>
      <w:bookmarkStart w:id="33" w:name="_Toc89163369"/>
      <w:bookmarkStart w:id="34" w:name="_Toc124325889"/>
      <w:bookmarkStart w:id="35" w:name="_Toc118774804"/>
      <w:bookmarkStart w:id="36" w:name="_Toc110765661"/>
      <w:bookmarkStart w:id="37" w:name="_Toc86204789"/>
      <w:bookmarkStart w:id="38" w:name="_Toc84133786"/>
      <w:bookmarkStart w:id="39" w:name="_Toc118212951"/>
      <w:bookmarkStart w:id="40" w:name="_Toc108512359"/>
      <w:bookmarkStart w:id="41" w:name="_Toc86649723"/>
      <w:bookmarkStart w:id="42" w:name="_Toc86225292"/>
      <w:bookmarkStart w:id="43" w:name="_Toc86726440"/>
      <w:r>
        <w:rPr>
          <w:rFonts w:ascii="彩虹粗仿宋" w:eastAsia="彩虹粗仿宋" w:hint="eastAsia"/>
          <w:sz w:val="30"/>
        </w:rPr>
        <w:t>五、基金财产的保管</w:t>
      </w:r>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8554F0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（一）基金财产保管的原则</w:t>
      </w:r>
    </w:p>
    <w:p w14:paraId="1BC49622"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1.基金财产应独立于基金管理人、基金托管人、基金服务机构和证券经纪机构的固有财产。</w:t>
      </w:r>
    </w:p>
    <w:p w14:paraId="5FC055B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2.基金托管人应安全保管基金财产。</w:t>
      </w:r>
    </w:p>
    <w:p w14:paraId="70A6271F"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3.基金托管人按照规定开设基金财产的资金账户和证券账户等投资所需账户。</w:t>
      </w:r>
    </w:p>
    <w:p w14:paraId="3137CCF2"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4.基金托管人对所托管的不同基金财产分别设置账户，独立核算，分账管理，确保基金财产的完整与独立。</w:t>
      </w:r>
    </w:p>
    <w:p w14:paraId="44BE1CF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5.基金托管人按照《基金合同》和本协议的约定保管基金财产，如有特殊情况双方可另行协商解决。基金</w:t>
      </w:r>
      <w:r>
        <w:rPr>
          <w:rFonts w:ascii="彩虹粗仿宋" w:eastAsia="彩虹粗仿宋" w:hint="eastAsia"/>
          <w:sz w:val="24"/>
        </w:rPr>
        <w:t>托管人未经基金管理人的指令，不得自行运用、处分、</w:t>
      </w:r>
      <w:r>
        <w:rPr>
          <w:rFonts w:ascii="彩虹粗仿宋" w:eastAsia="彩虹粗仿宋" w:hint="eastAsia"/>
          <w:sz w:val="24"/>
        </w:rPr>
        <w:lastRenderedPageBreak/>
        <w:t>分配本基金的任何资产（不包含基金托管人开户银行或交易/登记结算机构扣收交易费、结算费和账户维护费等费用）。</w:t>
      </w:r>
    </w:p>
    <w:p w14:paraId="4C6AA472" w14:textId="29AC301F"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6.对于因为基金投资产生的应收资产，应由基金管理人负责与有关当事人确定到账日期并通知基金托管人，到账日基金财产没有到达基金账户的，基金托管人应及时通知基金管理人采取措施进行催收。由此给基金财产造成损失的，基金管理人应负责向有关当事人追偿基金财产的损失，基金托管人对此不承担任何责任。</w:t>
      </w:r>
      <w:r>
        <w:rPr>
          <w:rFonts w:ascii="彩虹粗仿宋" w:eastAsia="彩虹粗仿宋" w:hAnsi="宋体" w:cs="Arial"/>
          <w:sz w:val="24"/>
        </w:rPr>
        <w:t xml:space="preserve"> </w:t>
      </w:r>
    </w:p>
    <w:p w14:paraId="32338C65"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7.除依据法律法规和《基金合同》的规定外，基金托管人不得委托第三人托管基金财产。</w:t>
      </w:r>
    </w:p>
    <w:p w14:paraId="7E9DD68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（二）基金募集期间及募集资金的验资</w:t>
      </w:r>
    </w:p>
    <w:p w14:paraId="083B0E93"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1.基金募集期间募集的资金应存于基金管理人在有托管资格的商业银行处开立的“基金募集专户”。该账户由基金管理人开立并管理。</w:t>
      </w:r>
    </w:p>
    <w:p w14:paraId="5CAACCAE"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基金募集期满或基金停止募集时，募集的基金份额总额、基金募集金额、基金份额持有人人数符合《基金法》、《运作办法》等有关规定后，基金管理人应将属于基金财产的全部资金划入基金托管人开立的基金托管资金账户，同时在规定时间内，聘请具有</w:t>
      </w:r>
      <w:r>
        <w:rPr>
          <w:rFonts w:ascii="彩虹粗仿宋" w:eastAsia="彩虹粗仿宋" w:hAnsi="宋体" w:cs="Arial" w:hint="eastAsia"/>
          <w:bCs/>
          <w:sz w:val="24"/>
        </w:rPr>
        <w:t>符合《中华人民共和国证券法》规定</w:t>
      </w:r>
      <w:r>
        <w:rPr>
          <w:rFonts w:ascii="彩虹粗仿宋" w:eastAsia="彩虹粗仿宋" w:hAnsi="宋体" w:cs="Arial" w:hint="eastAsia"/>
          <w:sz w:val="24"/>
        </w:rPr>
        <w:t>的会计师事务所进行验资，出具验资报告。出具的验资报告由参加验资的2名或2名以上中国注册会计师签字方为有效。</w:t>
      </w:r>
    </w:p>
    <w:p w14:paraId="1F7B20A8"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3.若基金募集期限届满，未能达到《基金合同》生效的条件，由基金管理人按规定办理退款等事宜。</w:t>
      </w:r>
    </w:p>
    <w:p w14:paraId="51A080A8"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（三）基金托管资金账户的开立和管理</w:t>
      </w:r>
    </w:p>
    <w:p w14:paraId="15748CA5"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1.基金托管人</w:t>
      </w:r>
      <w:r>
        <w:rPr>
          <w:rFonts w:ascii="彩虹粗仿宋" w:eastAsia="彩虹粗仿宋" w:hAnsi="宋体" w:cs="Arial"/>
          <w:sz w:val="24"/>
        </w:rPr>
        <w:t>应</w:t>
      </w:r>
      <w:r>
        <w:rPr>
          <w:rFonts w:ascii="彩虹粗仿宋" w:eastAsia="彩虹粗仿宋" w:hAnsi="宋体" w:cs="Arial" w:hint="eastAsia"/>
          <w:sz w:val="24"/>
        </w:rPr>
        <w:t>以基金的名义在其营业机构开立基金的托管资金账户，并根据基金管理人合法合规的指令办理资金收付。户名原则上应当包含开户主体和产品名称字样。如法律法规或监管部门另有规定的，从其规定。本基金的银行预留印鉴由基金托管人保管和使用。</w:t>
      </w:r>
    </w:p>
    <w:p w14:paraId="334440BA"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2.基金托管资金账户的开立和使用，限于满足开展本基金业务的需要。基金托管人和基金管理人不得假借本基金的名义开立任何其他银行账户；亦不得使用基金的任何银行账户进行本基金业务以外的活动。</w:t>
      </w:r>
    </w:p>
    <w:p w14:paraId="5C73EE8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3.基金托管资金账户的开立和管理应符合银行业监督管理机构的有关规定。</w:t>
      </w:r>
    </w:p>
    <w:p w14:paraId="66933591" w14:textId="77777777"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sz w:val="24"/>
        </w:rPr>
        <w:t>4</w:t>
      </w:r>
      <w:r>
        <w:rPr>
          <w:rFonts w:ascii="彩虹粗仿宋" w:eastAsia="彩虹粗仿宋" w:hAnsi="宋体" w:cs="Arial" w:hint="eastAsia"/>
          <w:sz w:val="24"/>
        </w:rPr>
        <w:t>.基金管理人应于基金清盘后及时完成收益兑付、费用结清及其他应收应付款项资金划转，在确保后续不再发生款项进出后的10个工作日内向基金托管人发出销户申请。</w:t>
      </w:r>
    </w:p>
    <w:p w14:paraId="387AEB2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（四）基金证券账户和证券资金账户的开立和管理</w:t>
      </w:r>
    </w:p>
    <w:p w14:paraId="5E9CB5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1.基金托管人在中国证券登记结算有限责任公司为基金开立基金托管人与基金联名的证券账户。</w:t>
      </w:r>
    </w:p>
    <w:p w14:paraId="3CE22FE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2.基金证券账户的开立和使用，仅限于满足开展本基金业务的需要。基金托管人和基金管理人不得出借或未经对方同意擅自转让基金的任何证券账户，亦不得使用基金的任何证券账户进行本基金业务以外的活动。</w:t>
      </w:r>
    </w:p>
    <w:p w14:paraId="4C5511C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3.基金证券账户的开立由基金托管人负责，账户资产的管理和运用由基金管理人负责。</w:t>
      </w:r>
    </w:p>
    <w:p w14:paraId="7697DD1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证券账户开户费由基金管理人先行</w:t>
      </w:r>
      <w:proofErr w:type="gramStart"/>
      <w:r>
        <w:rPr>
          <w:rFonts w:ascii="彩虹粗仿宋" w:eastAsia="彩虹粗仿宋" w:hAnsi="宋体" w:cs="Arial" w:hint="eastAsia"/>
          <w:sz w:val="24"/>
        </w:rPr>
        <w:t>垫付,</w:t>
      </w:r>
      <w:proofErr w:type="gramEnd"/>
      <w:r>
        <w:rPr>
          <w:rFonts w:ascii="彩虹粗仿宋" w:eastAsia="彩虹粗仿宋" w:hAnsi="宋体" w:cs="Arial" w:hint="eastAsia"/>
          <w:sz w:val="24"/>
        </w:rPr>
        <w:t>待本基金启始运营</w:t>
      </w:r>
      <w:proofErr w:type="gramStart"/>
      <w:r>
        <w:rPr>
          <w:rFonts w:ascii="彩虹粗仿宋" w:eastAsia="彩虹粗仿宋" w:hAnsi="宋体" w:cs="Arial" w:hint="eastAsia"/>
          <w:sz w:val="24"/>
        </w:rPr>
        <w:t>后,</w:t>
      </w:r>
      <w:proofErr w:type="gramEnd"/>
      <w:r>
        <w:rPr>
          <w:rFonts w:ascii="彩虹粗仿宋" w:eastAsia="彩虹粗仿宋" w:hAnsi="宋体" w:cs="Arial" w:hint="eastAsia"/>
          <w:sz w:val="24"/>
        </w:rPr>
        <w:t>基金管理人可向基金托管人发送划款</w:t>
      </w:r>
      <w:proofErr w:type="gramStart"/>
      <w:r>
        <w:rPr>
          <w:rFonts w:ascii="彩虹粗仿宋" w:eastAsia="彩虹粗仿宋" w:hAnsi="宋体" w:cs="Arial" w:hint="eastAsia"/>
          <w:sz w:val="24"/>
        </w:rPr>
        <w:t>指令,</w:t>
      </w:r>
      <w:proofErr w:type="gramEnd"/>
      <w:r>
        <w:rPr>
          <w:rFonts w:ascii="彩虹粗仿宋" w:eastAsia="彩虹粗仿宋" w:hAnsi="宋体" w:cs="Arial" w:hint="eastAsia"/>
          <w:sz w:val="24"/>
        </w:rPr>
        <w:t>将代垫开户费从本基金托管资金账户中扣还基金管理人。</w:t>
      </w:r>
    </w:p>
    <w:p w14:paraId="3B0A182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基金管理人为基金财产在证券经纪机构开立证券资金账户，用于基金财产证券交易结算资金的存管、记载交易结算资金的变动明细以及场内证券交易清算，并与基金托管人开立的基金托管资金账户建立第三方存管关系。</w:t>
      </w:r>
    </w:p>
    <w:p w14:paraId="0D4E0ED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交易所证券交易资金采用第三方存管模式，即用于证券交易结算资金全额存放在基金管理人为基金开立的证券资金账户中，场内的证券交易资金清算由基金管理人所选择的证券经纪机构负责，证券资金账户内的资金，只能通过证银转账方式将资金划转至基金托管资金账户，不得将资金划转至任何其他银行账户。第三方存管对应关系一经确定，不得更改，如果必须更改，应由基金管理人发起，经过基金托管人书面确认后，重新建立第三方存管对应关系。基金托管人和基金管理人不得出借或转让证券账户、证券资金账户，亦不得使用证券账户或证券资金账户进行本基金业务以外的活动。基金管理人承诺证券资金账户为主资金账户，不开立任何辅助资金账户；不为证券资金账户另行开立托管资金账户以外的其他银行账户。基金托管人不负责办理场内的证券交易资金清算，也不负责保管证券资金账户内存放的资金。</w:t>
      </w:r>
    </w:p>
    <w:p w14:paraId="069C83E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5.账户注销时，在遵守中国证券登记结算有限责任公司的相关规定下，由基金管理人和基金托管人协商确认主要办理人。账户注销期间，主要办理人如需另一方提供配合的，另一方应予以配合。</w:t>
      </w:r>
    </w:p>
    <w:p w14:paraId="3D7C41E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（五）银行间账户的开设和管理</w:t>
      </w:r>
    </w:p>
    <w:p w14:paraId="62F91BB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基金管理人代表基金签订全国银行间债券市场债券回购主协议。</w:t>
      </w:r>
    </w:p>
    <w:p w14:paraId="09A97C2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（六）其他账户的开立和管理</w:t>
      </w:r>
    </w:p>
    <w:p w14:paraId="460B8B0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1.在本托管协议订立日之后，本基金被允许从事符合法律法规规定和《基金合同》约定的其他投资品种的投资业务时，如果涉及相关账户的开设和使用，由基</w:t>
      </w:r>
      <w:r>
        <w:rPr>
          <w:rFonts w:ascii="彩虹粗仿宋" w:eastAsia="彩虹粗仿宋" w:hAnsi="宋体" w:cs="Arial" w:hint="eastAsia"/>
          <w:sz w:val="24"/>
        </w:rPr>
        <w:lastRenderedPageBreak/>
        <w:t>金管理人协助基金托管人根据有关法律法规的规定和《基金合同》的约定，开立有关账户。该账户按有关规则使用并管理。</w:t>
      </w:r>
    </w:p>
    <w:p w14:paraId="43E1563F"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2.法律法规等有关规定对相关账户的开立和管理另有规定的，从其规定办理。</w:t>
      </w:r>
    </w:p>
    <w:p w14:paraId="36B68C66"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（七）基金财产投资的有关有价凭证等的保管</w:t>
      </w:r>
    </w:p>
    <w:p w14:paraId="1434F2E8" w14:textId="77777777" w:rsidR="00B06AEE" w:rsidRDefault="00AD37FE">
      <w:pPr>
        <w:adjustRightInd w:val="0"/>
        <w:snapToGrid w:val="0"/>
        <w:ind w:firstLineChars="200" w:firstLine="480"/>
        <w:rPr>
          <w:rFonts w:ascii="彩虹粗仿宋" w:eastAsia="彩虹粗仿宋" w:hAnsi="宋体" w:cs="Arial"/>
        </w:rPr>
      </w:pPr>
      <w:r>
        <w:rPr>
          <w:rFonts w:ascii="彩虹粗仿宋" w:eastAsia="彩虹粗仿宋" w:hAnsi="宋体" w:cs="Arial" w:hint="eastAsia"/>
          <w:sz w:val="24"/>
        </w:rPr>
        <w:t>基金财产投资的有关实物证券、银行</w:t>
      </w:r>
      <w:r>
        <w:rPr>
          <w:rFonts w:ascii="彩虹粗仿宋" w:eastAsia="彩虹粗仿宋" w:hint="eastAsia"/>
          <w:sz w:val="24"/>
        </w:rPr>
        <w:t>存款开户证实书</w:t>
      </w:r>
      <w:r>
        <w:rPr>
          <w:rFonts w:ascii="彩虹粗仿宋" w:eastAsia="彩虹粗仿宋" w:hAnsi="宋体" w:cs="Arial" w:hint="eastAsia"/>
          <w:sz w:val="24"/>
        </w:rPr>
        <w:t>等有价凭证由基金托管人存放于基金托管人的保管库，也可存入法律法规有关规定允许的各类代保管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14:paraId="4E577D8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（八）与基金财产有关的重大合同的保管</w:t>
      </w:r>
    </w:p>
    <w:p w14:paraId="0D78912C" w14:textId="4DBED0C1" w:rsidR="00B06AEE" w:rsidRDefault="00AD37FE">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与基金财产有关的重大合同的签署，由基金管理人负责。由基金管理人代表基金签署的、与基金财产有关的重大合同的原件分别由基金管理人、基金托管人保管。除本协议另有规定或受限于第三方机构业务规则、监管机构或行业协会发布的格式合同等基金管理人不可控制因素外，基金管理人代表基金签署的与基金财产有关的重大合同包括但不限于基金年度审计合同、基金信息披露协议及基金投资业务中产生的重大合同，基金管理人应尽量保证基金管理人和基金托管人至少各持有一份正本的原件。对于无法取得两份以上的正本的，基金管理人应向基金托管人提供加盖公章的合同复印件或扫描件，基金管理人保证提供的合同复印件或扫描件与原件一致。重大合同的保管期限按照法律法规的规定执行。</w:t>
      </w:r>
    </w:p>
    <w:p w14:paraId="6565FDA1" w14:textId="77777777" w:rsidR="00B06AEE" w:rsidRDefault="00B06AEE">
      <w:pPr>
        <w:rPr>
          <w:rFonts w:ascii="彩虹粗仿宋" w:eastAsia="彩虹粗仿宋"/>
          <w:sz w:val="24"/>
        </w:rPr>
      </w:pPr>
    </w:p>
    <w:p w14:paraId="14BFEF9E" w14:textId="77777777" w:rsidR="00B06AEE" w:rsidRDefault="00AD37FE">
      <w:pPr>
        <w:pStyle w:val="Heading2"/>
        <w:jc w:val="center"/>
        <w:rPr>
          <w:rFonts w:ascii="彩虹粗仿宋" w:eastAsia="彩虹粗仿宋"/>
          <w:sz w:val="30"/>
        </w:rPr>
      </w:pPr>
      <w:bookmarkStart w:id="44" w:name="_Toc110765662"/>
      <w:bookmarkStart w:id="45" w:name="_Toc86737931"/>
      <w:bookmarkStart w:id="46" w:name="_Toc84234436"/>
      <w:bookmarkStart w:id="47" w:name="_Toc86225293"/>
      <w:bookmarkStart w:id="48" w:name="_Toc119402712"/>
      <w:bookmarkStart w:id="49" w:name="_Toc84133787"/>
      <w:bookmarkStart w:id="50" w:name="_Toc86204790"/>
      <w:bookmarkStart w:id="51" w:name="_Toc108512360"/>
      <w:bookmarkStart w:id="52" w:name="_Toc86223244"/>
      <w:bookmarkStart w:id="53" w:name="_Toc110761798"/>
      <w:bookmarkStart w:id="54" w:name="_Toc118972650"/>
      <w:bookmarkStart w:id="55" w:name="_Toc124325890"/>
      <w:bookmarkStart w:id="56" w:name="_Toc118774805"/>
      <w:bookmarkStart w:id="57" w:name="_Toc86726441"/>
      <w:bookmarkStart w:id="58" w:name="_Toc86649724"/>
      <w:bookmarkStart w:id="59" w:name="_Toc86727357"/>
      <w:bookmarkStart w:id="60" w:name="_Toc84234389"/>
      <w:bookmarkStart w:id="61" w:name="_Toc120435785"/>
      <w:bookmarkStart w:id="62" w:name="_Toc110830494"/>
      <w:bookmarkStart w:id="63" w:name="_Toc89163370"/>
      <w:bookmarkStart w:id="64" w:name="_Toc118212952"/>
      <w:r>
        <w:rPr>
          <w:rFonts w:ascii="彩虹粗仿宋" w:eastAsia="彩虹粗仿宋" w:hint="eastAsia"/>
          <w:sz w:val="30"/>
        </w:rPr>
        <w:t>六、指令的发送、确认及执行</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14:paraId="225849F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基金管理人在运用基金财产时向基金托管人发送资金划拨及其他款项付款指令，基金托管人执行基金管理人的指令、办理基金名下的资金往来等有关事项。</w:t>
      </w:r>
    </w:p>
    <w:p w14:paraId="301AE3E6"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（一）基金管理人对发送指令人员的书面授权（包括但不限于电子邮件形式）</w:t>
      </w:r>
    </w:p>
    <w:p w14:paraId="12A5AD7F" w14:textId="2C5B5E7F"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本协议签署生效后，基金管理人应向基金托管人提供授权代表签字与印鉴样本通知书（以下简称“授权文件”），内容包括被授权人名单、预留印鉴及被授权人签字样本，授权文件应注明被授权人相应的权限，授权文件应加盖单位公章。</w:t>
      </w:r>
    </w:p>
    <w:p w14:paraId="78FDAACA"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将“授权文件”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w:t>
      </w:r>
      <w:r>
        <w:rPr>
          <w:rFonts w:ascii="彩虹粗仿宋" w:eastAsia="彩虹粗仿宋" w:hAnsi="宋体" w:cs="Arial" w:hint="eastAsia"/>
          <w:sz w:val="24"/>
        </w:rPr>
        <w:lastRenderedPageBreak/>
        <w:t>间。</w:t>
      </w:r>
    </w:p>
    <w:p w14:paraId="368DF66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特殊情况下，经基金托管人同意，基金管理人可至少提前一个工作日将授权文件以邮件发送扫描件的方式先行通知基金托管人并确认生效。授权文件原件应在邮件发送后7个工作日内送达基金托管人。授权文件生效之后，原件送达之前，基金托管人按照新授权文件扫描件内容执行有关业务，如果授权文件原件与基金托管人收到的扫描件不同，由此产生的责任由基金管理人承担。</w:t>
      </w:r>
    </w:p>
    <w:p w14:paraId="7F3394E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基金管理人更换被授权人、更改或终止对被授权人的授权、变更预留印鉴应按上述要求提供新的授权文件。在授权变更生效前，基金托管人仍应按原授权文件执行指令，基金管理人不得否认其效力。</w:t>
      </w:r>
    </w:p>
    <w:p w14:paraId="10B6ABB1" w14:textId="2A6DCA9E"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更换接受基金管理人指令的传真号或邮箱地址，应提前通知基金管理人。基金管理人和基金托管人对授权文件负有保密义务，其内容不得向被授权人及相关操作人员以外的任何人泄露。但法律法规规定或有权机关要求的除外。</w:t>
      </w:r>
    </w:p>
    <w:p w14:paraId="4AE552A2"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（二）指令的内容</w:t>
      </w:r>
    </w:p>
    <w:p w14:paraId="5A9FE69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1.指令包括付款指令以及其他资金划拨指令等。</w:t>
      </w:r>
    </w:p>
    <w:p w14:paraId="435D4116"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2.基金管理人发给基金托管人的指令应写明款项事由、支付时间、到账时间、金额、收付款账户等，加盖预留印鉴并由被授权人签字。</w:t>
      </w:r>
    </w:p>
    <w:p w14:paraId="6B96BEDC"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（三）指令的发送、确认及执行的时间和程序</w:t>
      </w:r>
    </w:p>
    <w:p w14:paraId="1124DDE9"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1.指令的发送</w:t>
      </w:r>
    </w:p>
    <w:p w14:paraId="4E61DAF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基金管理人发送指令应采用电子直连、传真、电子邮件或双方协商一致的其他方式。</w:t>
      </w:r>
    </w:p>
    <w:p w14:paraId="1B1AB6E3"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14:paraId="6AE6E4E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指令发出后，基金管理人应及时以电话方式向基金托管人确认。</w:t>
      </w:r>
    </w:p>
    <w:p w14:paraId="36E9365C" w14:textId="77777777" w:rsidR="00B06AEE" w:rsidRDefault="00AD37FE">
      <w:pPr>
        <w:adjustRightInd w:val="0"/>
        <w:snapToGrid w:val="0"/>
        <w:ind w:firstLine="480"/>
        <w:rPr>
          <w:rFonts w:ascii="彩虹粗仿宋" w:eastAsia="彩虹粗仿宋" w:hAnsi="宋体"/>
          <w:sz w:val="24"/>
        </w:rPr>
      </w:pPr>
      <w:r>
        <w:rPr>
          <w:rFonts w:ascii="彩虹粗仿宋" w:eastAsia="彩虹粗仿宋" w:hAnsi="宋体" w:hint="eastAsia"/>
          <w:sz w:val="24"/>
        </w:rPr>
        <w:t>基金管理人应在银行间交易成交后，及时将通知单、相关文件及划款指令加盖印章后以双方协商一致的其他方式发至基金托管人并电话确认，由基金托管人完成后台交易匹配及资金交收事宜。如果银行间结算系统已经生成的交易需要取消或终止，基金管理人应以书面形式</w:t>
      </w:r>
      <w:r>
        <w:rPr>
          <w:rFonts w:ascii="彩虹粗仿宋" w:eastAsia="彩虹粗仿宋" w:hAnsi="宋体" w:cs="Arial" w:hint="eastAsia"/>
          <w:sz w:val="24"/>
        </w:rPr>
        <w:t>（包括但不限于电子邮件形式）</w:t>
      </w:r>
      <w:r>
        <w:rPr>
          <w:rFonts w:ascii="彩虹粗仿宋" w:eastAsia="彩虹粗仿宋" w:hAnsi="宋体" w:hint="eastAsia"/>
          <w:sz w:val="24"/>
        </w:rPr>
        <w:t>通知基金托管人。</w:t>
      </w:r>
    </w:p>
    <w:p w14:paraId="2BD72E61"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2.指令的确认</w:t>
      </w:r>
    </w:p>
    <w:p w14:paraId="791B1999"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基金托管人应指定专人接收基金管理人的指令，预先书面通知基金管理人其</w:t>
      </w:r>
      <w:r>
        <w:rPr>
          <w:rFonts w:ascii="彩虹粗仿宋" w:eastAsia="彩虹粗仿宋" w:hAnsi="宋体" w:cs="Arial" w:hint="eastAsia"/>
          <w:sz w:val="24"/>
        </w:rPr>
        <w:lastRenderedPageBreak/>
        <w:t>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及时执行，不得延误，如有疑问必须及时通知基金管理人。</w:t>
      </w:r>
    </w:p>
    <w:p w14:paraId="1FB20509"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3.指令的时间和执行</w:t>
      </w:r>
    </w:p>
    <w:p w14:paraId="0B77E6E4" w14:textId="77777777" w:rsidR="00B06AEE" w:rsidRDefault="00AD37FE">
      <w:pPr>
        <w:pStyle w:val="BodyTextIndent"/>
        <w:spacing w:line="240" w:lineRule="auto"/>
        <w:ind w:firstLineChars="0"/>
        <w:rPr>
          <w:rFonts w:ascii="彩虹粗仿宋" w:eastAsia="彩虹粗仿宋" w:hAnsi="宋体" w:cs="Arial"/>
          <w:szCs w:val="24"/>
          <w:shd w:val="pct10" w:color="auto" w:fill="FFFFFF"/>
        </w:rPr>
      </w:pPr>
      <w:r>
        <w:rPr>
          <w:rFonts w:ascii="彩虹粗仿宋" w:eastAsia="彩虹粗仿宋" w:hAnsi="宋体" w:cs="Arial" w:hint="eastAsia"/>
        </w:rPr>
        <w:t>基金管理人尽量于划款前1个工作日向基金托管人发送指令并确认。对于要求当天到账的指令，必须在当天15:30前向基金托管人发送，15:30之后发送的，基金托管人尽力执行，但不能保证划账成功。如果要求当天某一时点到账的指令，则指令需要提前2个工作小时发送，并保证相关付款条件已经具备。基金托管人将视付款条件具备时为指令送达时间。基金管理人应确保基金托管人在执行指令时</w:t>
      </w:r>
      <w:r>
        <w:rPr>
          <w:rFonts w:ascii="彩虹粗仿宋" w:eastAsia="彩虹粗仿宋" w:hAnsi="宋体" w:cs="Arial" w:hint="eastAsia"/>
          <w:szCs w:val="24"/>
        </w:rPr>
        <w:t>，基金</w:t>
      </w:r>
      <w:r>
        <w:rPr>
          <w:rFonts w:ascii="彩虹粗仿宋" w:eastAsia="彩虹粗仿宋" w:hAnsi="宋体" w:cs="Arial" w:hint="eastAsia"/>
        </w:rPr>
        <w:t>托管资金</w:t>
      </w:r>
      <w:r>
        <w:rPr>
          <w:rFonts w:ascii="彩虹粗仿宋" w:eastAsia="彩虹粗仿宋" w:hAnsi="宋体" w:cs="Arial" w:hint="eastAsia"/>
          <w:szCs w:val="24"/>
        </w:rPr>
        <w:t>账户有足够的资金余额，</w:t>
      </w:r>
      <w:r>
        <w:rPr>
          <w:rFonts w:ascii="彩虹粗仿宋" w:eastAsia="彩虹粗仿宋" w:hAnsi="宋体" w:cs="Arial" w:hint="eastAsia"/>
        </w:rPr>
        <w:t>在基金资金头寸充足的情况下，基金托管人对基金管理人符合法律法规、《基金合同》、本协议的指令不得拖延或拒绝执行。</w:t>
      </w:r>
    </w:p>
    <w:p w14:paraId="11E16A49" w14:textId="77777777" w:rsidR="00B06AEE" w:rsidRDefault="00AD37FE">
      <w:pPr>
        <w:pStyle w:val="BodyTextIndent"/>
        <w:spacing w:line="240" w:lineRule="auto"/>
        <w:ind w:firstLineChars="0"/>
        <w:rPr>
          <w:rFonts w:ascii="彩虹粗仿宋" w:eastAsia="彩虹粗仿宋" w:hAnsi="宋体" w:cs="Arial"/>
        </w:rPr>
      </w:pPr>
      <w:r>
        <w:rPr>
          <w:rFonts w:ascii="彩虹粗仿宋" w:eastAsia="彩虹粗仿宋" w:hAnsi="宋体" w:cs="Arial" w:hint="eastAsia"/>
        </w:rPr>
        <w:t>（四）基金管理人发送错误指令的情形和处理程序</w:t>
      </w:r>
    </w:p>
    <w:p w14:paraId="0FB7218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基金管理人发送错误指令的情形包括指令违反法律法规、监管规定、《基金合同》或本协议约定，或指令发送人员无权或超越权限发送指令。</w:t>
      </w:r>
    </w:p>
    <w:p w14:paraId="7F8D011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基金托管人发现基金管理人的指令错误时，有权视情况暂缓或拒绝执行，并及时通知基金管理人改正。如需基金托管人撤销尚未执行的指令，基金管理人应出具作废指令或作废说明，并电话通知基金托管人。</w:t>
      </w:r>
    </w:p>
    <w:p w14:paraId="5F6ED3A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（五）基金托管人未按照基金管理人指令执行的处理方法</w:t>
      </w:r>
    </w:p>
    <w:p w14:paraId="39BA657E" w14:textId="5102D1C9"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基金托管人由于自身过错，未按照基金管理人发送的符合法律法规、监管规定、《基金合同》和本协议约定的指令执行并对基金财产或投资人造成的直接损失，由基金托管人</w:t>
      </w:r>
      <w:r>
        <w:rPr>
          <w:rFonts w:ascii="彩虹粗仿宋" w:eastAsia="彩虹粗仿宋" w:hint="eastAsia"/>
          <w:sz w:val="24"/>
        </w:rPr>
        <w:t>赔偿由此造成的直接损失。</w:t>
      </w:r>
    </w:p>
    <w:p w14:paraId="6E244C74" w14:textId="76697C10"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（六）其他事项</w:t>
      </w:r>
    </w:p>
    <w:p w14:paraId="0195F894"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14:paraId="716DF1BF"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基金参与认购未上市债券时，基金管理人应代表本基金与对手方签署相关合同或协议，明确约定债券过户具体事宜。否则，基金管理人需对所认购债券的过户事宜承担相应责任。</w:t>
      </w:r>
    </w:p>
    <w:p w14:paraId="21E01E22" w14:textId="77777777" w:rsidR="00B06AEE" w:rsidRDefault="00B06AEE">
      <w:pPr>
        <w:adjustRightInd w:val="0"/>
        <w:snapToGrid w:val="0"/>
        <w:rPr>
          <w:rFonts w:ascii="彩虹粗仿宋" w:eastAsia="彩虹粗仿宋" w:hAnsi="宋体" w:cs="Arial"/>
          <w:sz w:val="24"/>
        </w:rPr>
      </w:pPr>
    </w:p>
    <w:p w14:paraId="2DF0B307" w14:textId="77777777" w:rsidR="00B06AEE" w:rsidRDefault="00AD37FE">
      <w:pPr>
        <w:pStyle w:val="Heading2"/>
        <w:jc w:val="center"/>
        <w:rPr>
          <w:rFonts w:ascii="彩虹粗仿宋" w:eastAsia="彩虹粗仿宋"/>
          <w:sz w:val="30"/>
        </w:rPr>
      </w:pPr>
      <w:bookmarkStart w:id="65" w:name="_Toc124325891"/>
      <w:bookmarkStart w:id="66" w:name="_Toc89163371"/>
      <w:bookmarkStart w:id="67" w:name="_Toc118774806"/>
      <w:bookmarkStart w:id="68" w:name="_Toc110765663"/>
      <w:bookmarkStart w:id="69" w:name="_Toc86726442"/>
      <w:bookmarkStart w:id="70" w:name="_Toc86727358"/>
      <w:bookmarkStart w:id="71" w:name="_Toc86204791"/>
      <w:bookmarkStart w:id="72" w:name="_Toc118212953"/>
      <w:bookmarkStart w:id="73" w:name="_Toc86737932"/>
      <w:bookmarkStart w:id="74" w:name="_Toc84133788"/>
      <w:bookmarkStart w:id="75" w:name="_Toc119402713"/>
      <w:bookmarkStart w:id="76" w:name="_Toc84234437"/>
      <w:bookmarkStart w:id="77" w:name="_Toc86223245"/>
      <w:bookmarkStart w:id="78" w:name="_Toc108512361"/>
      <w:bookmarkStart w:id="79" w:name="_Toc84234390"/>
      <w:bookmarkStart w:id="80" w:name="_Toc86225294"/>
      <w:bookmarkStart w:id="81" w:name="_Toc118972651"/>
      <w:bookmarkStart w:id="82" w:name="_Toc110830495"/>
      <w:bookmarkStart w:id="83" w:name="_Toc110761799"/>
      <w:bookmarkStart w:id="84" w:name="_Toc86649725"/>
      <w:bookmarkStart w:id="85" w:name="_Toc120435786"/>
      <w:r>
        <w:rPr>
          <w:rFonts w:ascii="彩虹粗仿宋" w:eastAsia="彩虹粗仿宋" w:hint="eastAsia"/>
          <w:sz w:val="30"/>
        </w:rPr>
        <w:lastRenderedPageBreak/>
        <w:t>七、交易及清算交收安排</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0610E19F" w14:textId="22A256E2"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（一）选择证券买卖的证券经纪机构经纪机构</w:t>
      </w:r>
    </w:p>
    <w:p w14:paraId="50AC4E9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设计选择证券买卖的证券经纪机构的标准和程序。基金管理人应代表基金与被选择的证券经纪机构签订证券经纪合同或其他约定的形式。基金管理人、基金托管人和证券经纪机构可就本基金参与证券交易的具体事项另行签订协议，明确三方在本基金参与场内证券买卖中的各类证券交易、证券交收及相关资金交收过程中的职责和义务。基金管理人应及时将基金佣金费率等基本信息以及变更情况及时以书面形式（包括但不限于电子邮件形式）通知基金</w:t>
      </w:r>
      <w:proofErr w:type="gramStart"/>
      <w:r>
        <w:rPr>
          <w:rFonts w:ascii="彩虹粗仿宋" w:eastAsia="彩虹粗仿宋" w:hAnsi="宋体" w:cs="Arial" w:hint="eastAsia"/>
          <w:sz w:val="24"/>
        </w:rPr>
        <w:t>托管人,</w:t>
      </w:r>
      <w:proofErr w:type="gramEnd"/>
      <w:r>
        <w:rPr>
          <w:rFonts w:ascii="彩虹粗仿宋" w:eastAsia="彩虹粗仿宋" w:hAnsi="宋体" w:cs="Arial" w:hint="eastAsia"/>
          <w:sz w:val="24"/>
        </w:rPr>
        <w:t>并在法定信息披露公告中披露关于选择证券公司的标准和程序等信息。</w:t>
      </w:r>
    </w:p>
    <w:p w14:paraId="604474D9" w14:textId="479B9C9B"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（二）基金投资证券后的清算交收安排</w:t>
      </w:r>
    </w:p>
    <w:p w14:paraId="3D43884B"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1.清算与交割</w:t>
      </w:r>
    </w:p>
    <w:p w14:paraId="62D06874" w14:textId="37D3C9AA" w:rsidR="00B06AEE" w:rsidRDefault="00AD37FE">
      <w:pPr>
        <w:adjustRightInd w:val="0"/>
        <w:snapToGrid w:val="0"/>
        <w:ind w:firstLine="480"/>
        <w:rPr>
          <w:rFonts w:ascii="彩虹粗仿宋" w:eastAsia="彩虹粗仿宋" w:hAnsi="宋体" w:cs="Arial"/>
          <w:sz w:val="24"/>
        </w:rPr>
      </w:pPr>
      <w:r>
        <w:rPr>
          <w:rFonts w:ascii="彩虹粗仿宋" w:eastAsia="彩虹粗仿宋" w:hint="eastAsia"/>
          <w:sz w:val="24"/>
        </w:rPr>
        <w:t>基金通过证券经纪机构进行的交易由证券经纪机构作为结算参与人代理本基金进行结算。</w:t>
      </w:r>
      <w:r>
        <w:rPr>
          <w:rFonts w:ascii="彩虹粗仿宋" w:eastAsia="彩虹粗仿宋" w:hAnsi="宋体" w:cs="Arial" w:hint="eastAsia"/>
          <w:sz w:val="24"/>
        </w:rPr>
        <w:t>本基金其它证券交易由基金托管人或相关机构负责结算，场外资金汇划由基金托管人根据基金管理人的交易划款指令具体办理。</w:t>
      </w:r>
    </w:p>
    <w:p w14:paraId="704427B8"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证券经纪机构代理本基金财产与中国证券登记结算有限责任公司完成证券交易及非交易涉及的证券资金结算业务，并承担由证券经纪机构原因造成的正常结算、交收业务无法完成的责任；若由于基金管理人原因造成的正常结算业务无法完成，责任由基金管理人承担。</w:t>
      </w:r>
    </w:p>
    <w:p w14:paraId="01B4A82C"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对于任何原因发生的证券资金交收违约事件，相关各方应当及时协商解决。</w:t>
      </w:r>
      <w:r>
        <w:rPr>
          <w:rFonts w:ascii="彩虹粗仿宋" w:eastAsia="彩虹粗仿宋" w:hAnsi="宋体" w:cs="Arial"/>
          <w:sz w:val="24"/>
        </w:rPr>
        <w:cr/>
      </w:r>
      <w:r>
        <w:rPr>
          <w:rFonts w:ascii="彩虹粗仿宋" w:eastAsia="彩虹粗仿宋" w:hAnsi="宋体" w:cs="Arial" w:hint="eastAsia"/>
          <w:sz w:val="24"/>
        </w:rPr>
        <w:t>由于相关方过错在清算上造成基金财产的直接损失，应由过错方负责相应赔偿。</w:t>
      </w:r>
    </w:p>
    <w:p w14:paraId="0AA449DF" w14:textId="4F3B00D3"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2.交易记录、资金和证券账目核对的时间和方式</w:t>
      </w:r>
    </w:p>
    <w:p w14:paraId="5BB2B818"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（1）交易记录的核对</w:t>
      </w:r>
    </w:p>
    <w:p w14:paraId="724D578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int="eastAsia"/>
          <w:kern w:val="0"/>
          <w:sz w:val="24"/>
        </w:rPr>
        <w:t>基金管理人按日进行交易记录的核对。对外披露净值之前，必须保证当天所有实际交易记录与基金会计账簿上的交易记录完全一致。如果实际交易记录与会计账簿记录不一致，造成基金会计核算不完整或不真实，由此导致的损失由基金管理人承担。</w:t>
      </w:r>
    </w:p>
    <w:p w14:paraId="1C230F3D"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（2）资金账目的核对</w:t>
      </w:r>
    </w:p>
    <w:p w14:paraId="080C5820"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资金账目按日核实。</w:t>
      </w:r>
    </w:p>
    <w:p w14:paraId="5C9D899B" w14:textId="580E4F95"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（3）证券账目的核对</w:t>
      </w:r>
    </w:p>
    <w:p w14:paraId="22B4F22D" w14:textId="56A8FF92"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基金管理人和基金托管人每交易日结束后核对基金证券账目，确保双方账目相符。</w:t>
      </w:r>
    </w:p>
    <w:p w14:paraId="12BB6D4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（三）基金外包服务机构</w:t>
      </w:r>
    </w:p>
    <w:p w14:paraId="3B5C413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基金管理人</w:t>
      </w:r>
      <w:r>
        <w:rPr>
          <w:rFonts w:ascii="彩虹粗仿宋" w:eastAsia="彩虹粗仿宋" w:hAnsi="宋体" w:cs="Arial"/>
          <w:sz w:val="24"/>
        </w:rPr>
        <w:t>有权委托</w:t>
      </w:r>
      <w:r>
        <w:rPr>
          <w:rFonts w:ascii="彩虹粗仿宋" w:eastAsia="彩虹粗仿宋" w:hAnsi="宋体" w:cs="Arial" w:hint="eastAsia"/>
          <w:sz w:val="24"/>
        </w:rPr>
        <w:t>其他符合条件的机构担任本基金的登记机构及估值机构。</w:t>
      </w:r>
    </w:p>
    <w:p w14:paraId="5D3DCD1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如</w:t>
      </w:r>
      <w:r>
        <w:rPr>
          <w:rFonts w:ascii="彩虹粗仿宋" w:eastAsia="彩虹粗仿宋" w:hAnsi="宋体" w:cs="Arial" w:hint="eastAsia"/>
          <w:sz w:val="24"/>
        </w:rPr>
        <w:t>受托登记机构、估值机构与基金托管人为同一机构的，基金托管人应当设立专门的团队与业务系统，与原有基金托管业务团队之间建立必要的业务隔离，有效防范潜在的利益冲突。</w:t>
      </w:r>
    </w:p>
    <w:p w14:paraId="26F0DDF8"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（四）基金现金分红</w:t>
      </w:r>
    </w:p>
    <w:p w14:paraId="01802FF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1.基金管理人确定分红方案通知基金托管人，双方核定后</w:t>
      </w:r>
      <w:r>
        <w:rPr>
          <w:rFonts w:ascii="彩虹粗仿宋" w:eastAsia="彩虹粗仿宋" w:hint="eastAsia"/>
          <w:sz w:val="24"/>
          <w:szCs w:val="18"/>
        </w:rPr>
        <w:t>依照《公开募集证券投资基金信息披露管理办法》（以下简称“《信息披露办法》”）的有关规定在中国证监会规定媒介上公告</w:t>
      </w:r>
      <w:r>
        <w:rPr>
          <w:rFonts w:ascii="彩虹粗仿宋" w:eastAsia="彩虹粗仿宋" w:hAnsi="宋体" w:cs="Arial" w:hint="eastAsia"/>
          <w:sz w:val="24"/>
        </w:rPr>
        <w:t>。</w:t>
      </w:r>
    </w:p>
    <w:p w14:paraId="2DBBD08C" w14:textId="77777777" w:rsidR="00B06AEE" w:rsidRDefault="00AD37FE">
      <w:pPr>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2.基金托管人和基金管理人对基金分红进行账务处理并核对后，基金管理人向基金托管人发送现金红利的划款指令，基金托管人应及时将资金划入专用账户。</w:t>
      </w:r>
    </w:p>
    <w:p w14:paraId="193C53D8" w14:textId="77777777" w:rsidR="00B06AEE" w:rsidRDefault="00AD37FE">
      <w:pPr>
        <w:ind w:firstLine="480"/>
        <w:rPr>
          <w:rFonts w:ascii="彩虹粗仿宋" w:eastAsia="彩虹粗仿宋" w:hAnsi="宋体" w:cs="Arial"/>
          <w:sz w:val="24"/>
        </w:rPr>
      </w:pPr>
      <w:r>
        <w:rPr>
          <w:rFonts w:ascii="彩虹粗仿宋" w:eastAsia="彩虹粗仿宋" w:hAnsi="宋体" w:cs="Arial" w:hint="eastAsia"/>
          <w:sz w:val="24"/>
        </w:rPr>
        <w:t>3.基金管理人在下达指令时，应给基金托管人留出必需的划款时间。</w:t>
      </w:r>
    </w:p>
    <w:p w14:paraId="3A69414D"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（五）投资银行存款的特别约定</w:t>
      </w:r>
    </w:p>
    <w:p w14:paraId="72FAEF2A"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1.本基金投资银行存款前，基金管理人应与存款银行签订具体存款协议，包括但不限于以下内容：</w:t>
      </w:r>
    </w:p>
    <w:p w14:paraId="1FB60BA8"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（1）存款账户必须以本基金名义开</w:t>
      </w:r>
      <w:proofErr w:type="gramStart"/>
      <w:r>
        <w:rPr>
          <w:rFonts w:ascii="彩虹粗仿宋" w:eastAsia="彩虹粗仿宋" w:hAnsi="宋体" w:cs="Arial" w:hint="eastAsia"/>
          <w:sz w:val="24"/>
        </w:rPr>
        <w:t>立,</w:t>
      </w:r>
      <w:proofErr w:type="gramEnd"/>
      <w:r>
        <w:rPr>
          <w:rFonts w:ascii="彩虹粗仿宋" w:eastAsia="彩虹粗仿宋" w:hAnsi="宋体" w:cs="Arial" w:hint="eastAsia"/>
          <w:sz w:val="24"/>
        </w:rPr>
        <w:t>并将基金托管人为本基金开立的基金托管资金账户指定为唯一回款账户，任何情况下，存款银行都不得将存款投资本息划往任何其他账户。</w:t>
      </w:r>
    </w:p>
    <w:p w14:paraId="25E9E700"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（2）存款银行不得接受基金管理人或基金托管人任何一方单方面提出的对存款进行更名、转让、挂失、质押、担保、撤销、变更印鉴及回款账户信息等可能导致财产转移的操作申请。</w:t>
      </w:r>
    </w:p>
    <w:p w14:paraId="194FC2F8"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（3）约定存款证实书的具体传递交接方式及交接期限。</w:t>
      </w:r>
    </w:p>
    <w:p w14:paraId="23F76103" w14:textId="77777777" w:rsidR="00B06AEE" w:rsidRDefault="00AD37FE">
      <w:pPr>
        <w:adjustRightInd w:val="0"/>
        <w:snapToGrid w:val="0"/>
        <w:ind w:firstLine="480"/>
        <w:outlineLvl w:val="0"/>
        <w:rPr>
          <w:rFonts w:ascii="彩虹粗仿宋" w:eastAsia="彩虹粗仿宋" w:hAnsi="宋体" w:cs="Arial"/>
          <w:sz w:val="24"/>
        </w:rPr>
      </w:pPr>
      <w:r>
        <w:rPr>
          <w:rFonts w:ascii="彩虹粗仿宋" w:eastAsia="彩虹粗仿宋" w:hAnsi="宋体" w:cs="Arial" w:hint="eastAsia"/>
          <w:sz w:val="24"/>
        </w:rPr>
        <w:t>（4）资金划转过程中需要使用存款银行过渡账户的，存款银行须保证资金在过渡账户中不出现滞留，不被挪用。</w:t>
      </w:r>
    </w:p>
    <w:p w14:paraId="64517D6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本基金投资银行存款，必须采用双方认可的方式办理。基金托管人负责依据基金管理人提供的银行存款投资合同/协议、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14:paraId="254536B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管理人投资银行存款或办理存款支取时，应提前书面通知（包括但不限于电子邮件形式）基金托管人，以便基金托管人有足够的时间履行相应的业务操作程序。因发生逾期支取、提前支取或部分提前支取，基金托管人不承担相应利息损失及逾期支取手续费。</w:t>
      </w:r>
    </w:p>
    <w:p w14:paraId="6B517AFF" w14:textId="77777777"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4.对于已移交基金托管人保管的存款开户证实书等实物凭证，基金托管人应确</w:t>
      </w:r>
      <w:r>
        <w:rPr>
          <w:rFonts w:ascii="彩虹粗仿宋" w:eastAsia="彩虹粗仿宋" w:hAnsi="宋体" w:cs="Arial" w:hint="eastAsia"/>
          <w:sz w:val="24"/>
        </w:rPr>
        <w:lastRenderedPageBreak/>
        <w:t>保安全保管；对未按约定将存款开户证实书等实物凭证移交基金托管人保管的，基金托管人应向基金管理人进行必要的催缴和风险提示；提示后仍不将相关实物凭证送达基金托管人保管的，出于托管履职和尽责，基金托管人可视情况采取必要的风险控制措施：（1）建立风险预警机制，对于实物凭证未送达集中度较高的存款银行，主动发函基金管理人尽量避免在此类银行进行存款投资；（2）在定期报告中，对未按约定送达基金托管人保管的实物凭证信息进行规定范围信息披露；（3）未送达实物凭证超过送单截止日后30个工作日，且累计超过3笔（含）以上的，部分或全部暂停配合基金管理人办理后续新增存款投资业务，直至实物凭证送达基金托管人保管后解除。实物凭证未送达但存款本息已安全划回托管资金账户的，以及因发生特殊情况由基金管理人提供相关书面说明并重新承诺送单截止时间的，可剔除不计。</w:t>
      </w:r>
    </w:p>
    <w:p w14:paraId="2FE88B63" w14:textId="77777777" w:rsidR="00B06AEE" w:rsidRDefault="00B06AEE">
      <w:pPr>
        <w:adjustRightInd w:val="0"/>
        <w:snapToGrid w:val="0"/>
        <w:ind w:firstLineChars="200" w:firstLine="480"/>
        <w:rPr>
          <w:rFonts w:ascii="彩虹粗仿宋" w:eastAsia="彩虹粗仿宋" w:hAnsi="宋体" w:cs="Arial"/>
          <w:sz w:val="24"/>
        </w:rPr>
      </w:pPr>
    </w:p>
    <w:p w14:paraId="07382D75" w14:textId="77777777" w:rsidR="00B06AEE" w:rsidRDefault="00AD37FE">
      <w:pPr>
        <w:pStyle w:val="Heading2"/>
        <w:jc w:val="center"/>
        <w:rPr>
          <w:rFonts w:ascii="彩虹粗仿宋" w:eastAsia="彩虹粗仿宋"/>
          <w:sz w:val="30"/>
        </w:rPr>
      </w:pPr>
      <w:bookmarkStart w:id="86" w:name="_Toc124325892"/>
      <w:r>
        <w:rPr>
          <w:rFonts w:ascii="彩虹粗仿宋" w:eastAsia="彩虹粗仿宋" w:hint="eastAsia"/>
          <w:sz w:val="30"/>
        </w:rPr>
        <w:t xml:space="preserve"> 八、基金资产净值计算和会计核算</w:t>
      </w:r>
      <w:bookmarkEnd w:id="86"/>
    </w:p>
    <w:p w14:paraId="1134A8D7" w14:textId="77777777" w:rsidR="00B06AEE" w:rsidRDefault="00AD37FE">
      <w:pPr>
        <w:adjustRightInd w:val="0"/>
        <w:snapToGrid w:val="0"/>
        <w:ind w:firstLineChars="200" w:firstLine="480"/>
        <w:outlineLvl w:val="0"/>
        <w:rPr>
          <w:rFonts w:ascii="彩虹粗仿宋" w:eastAsia="彩虹粗仿宋" w:hAnsi="宋体" w:cs="Arial"/>
          <w:sz w:val="24"/>
        </w:rPr>
      </w:pPr>
      <w:bookmarkStart w:id="87" w:name="_Hlk87826169"/>
      <w:r>
        <w:rPr>
          <w:rFonts w:ascii="彩虹粗仿宋" w:eastAsia="彩虹粗仿宋" w:hAnsi="宋体" w:cs="Arial" w:hint="eastAsia"/>
          <w:sz w:val="24"/>
        </w:rPr>
        <w:t>（一）基金资产净值的计算、复核与完成的时间及程序</w:t>
      </w:r>
    </w:p>
    <w:p w14:paraId="2C3DF09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1.基金资产净值是指基金资产总值减去基金负债后的金额。基金份额净值是按照每个</w:t>
      </w:r>
      <w:r>
        <w:rPr>
          <w:rFonts w:ascii="彩虹粗仿宋" w:eastAsia="彩虹粗仿宋" w:hAnsi="宋体" w:cs="Arial"/>
          <w:bCs/>
          <w:sz w:val="24"/>
        </w:rPr>
        <w:t>工作</w:t>
      </w:r>
      <w:r>
        <w:rPr>
          <w:rFonts w:ascii="彩虹粗仿宋" w:eastAsia="彩虹粗仿宋" w:hAnsi="宋体" w:cs="Arial" w:hint="eastAsia"/>
          <w:sz w:val="24"/>
        </w:rPr>
        <w:t>日闭市后，基金资产净值除以当日基金份额的余额数量计算，精确到0.0</w:t>
      </w:r>
      <w:r>
        <w:rPr>
          <w:rFonts w:ascii="彩虹粗仿宋" w:eastAsia="彩虹粗仿宋" w:hAnsi="宋体" w:cs="Arial"/>
          <w:sz w:val="24"/>
        </w:rPr>
        <w:t>0</w:t>
      </w:r>
      <w:r>
        <w:rPr>
          <w:rFonts w:ascii="彩虹粗仿宋" w:eastAsia="彩虹粗仿宋" w:hAnsi="宋体" w:cs="Arial" w:hint="eastAsia"/>
          <w:sz w:val="24"/>
        </w:rPr>
        <w:t>01元，小数点后第5位四舍五入。国家另有规定的，从其规定。</w:t>
      </w:r>
    </w:p>
    <w:p w14:paraId="5F4371F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基金管理人或其委托的基金服务机构每个</w:t>
      </w:r>
      <w:r>
        <w:rPr>
          <w:rFonts w:ascii="彩虹粗仿宋" w:eastAsia="彩虹粗仿宋" w:hAnsi="宋体" w:cs="Arial"/>
          <w:bCs/>
          <w:sz w:val="24"/>
        </w:rPr>
        <w:t>工作</w:t>
      </w:r>
      <w:r>
        <w:rPr>
          <w:rFonts w:ascii="彩虹粗仿宋" w:eastAsia="彩虹粗仿宋" w:hAnsi="宋体" w:cs="Arial" w:hint="eastAsia"/>
          <w:sz w:val="24"/>
        </w:rPr>
        <w:t>日计算基金资产净值及基金份额净值，并按规定公告。</w:t>
      </w:r>
    </w:p>
    <w:p w14:paraId="3978423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2.基金管理人或其委托的</w:t>
      </w:r>
      <w:r>
        <w:rPr>
          <w:rFonts w:ascii="彩虹粗仿宋" w:eastAsia="彩虹粗仿宋" w:hAnsi="宋体" w:cs="Arial"/>
          <w:bCs/>
          <w:sz w:val="24"/>
        </w:rPr>
        <w:t>基金服务机构</w:t>
      </w:r>
      <w:r>
        <w:rPr>
          <w:rFonts w:ascii="彩虹粗仿宋" w:eastAsia="彩虹粗仿宋" w:hAnsi="宋体" w:cs="Arial" w:hint="eastAsia"/>
          <w:sz w:val="24"/>
        </w:rPr>
        <w:t>应每个工作日对基金资产估值。但基金管理人根据法律法规或《基金合同》的规定暂停估值时除外。基金管理人或其委托的</w:t>
      </w:r>
      <w:r>
        <w:rPr>
          <w:rFonts w:ascii="彩虹粗仿宋" w:eastAsia="彩虹粗仿宋" w:hAnsi="宋体" w:cs="Arial"/>
          <w:bCs/>
          <w:sz w:val="24"/>
        </w:rPr>
        <w:t>基金服务机构</w:t>
      </w:r>
      <w:r>
        <w:rPr>
          <w:rFonts w:ascii="彩虹粗仿宋" w:eastAsia="彩虹粗仿宋" w:hAnsi="宋体" w:cs="Arial" w:hint="eastAsia"/>
          <w:sz w:val="24"/>
        </w:rPr>
        <w:t>每个工作日对基金资产估值后，将基金份额净值结果发送基金托管人，经基金托管人复核无误后，由基金管理人按规定对外公布。</w:t>
      </w:r>
    </w:p>
    <w:bookmarkEnd w:id="87"/>
    <w:p w14:paraId="5591DD66" w14:textId="77777777" w:rsidR="00B06AEE" w:rsidRDefault="00AD37FE">
      <w:pPr>
        <w:ind w:firstLineChars="200" w:firstLine="480"/>
        <w:rPr>
          <w:rFonts w:ascii="彩虹粗仿宋" w:eastAsia="彩虹粗仿宋" w:hAnsi="宋体" w:cs="Arial"/>
          <w:sz w:val="24"/>
        </w:rPr>
      </w:pPr>
      <w:r>
        <w:rPr>
          <w:rFonts w:ascii="彩虹粗仿宋" w:eastAsia="彩虹粗仿宋" w:hAnsi="宋体" w:cs="Arial" w:hint="eastAsia"/>
          <w:sz w:val="24"/>
        </w:rPr>
        <w:t>（二）基金资产估值方法和特殊情形的处理</w:t>
      </w:r>
    </w:p>
    <w:p w14:paraId="57E7779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1.估值对象</w:t>
      </w:r>
    </w:p>
    <w:p w14:paraId="65E36DB0" w14:textId="2C6173C2" w:rsidR="00B06AEE" w:rsidRDefault="00AD37FE">
      <w:pPr>
        <w:adjustRightInd w:val="0"/>
        <w:snapToGrid w:val="0"/>
        <w:ind w:firstLineChars="200" w:firstLine="480"/>
        <w:rPr>
          <w:rFonts w:ascii="彩虹粗仿宋" w:eastAsia="彩虹粗仿宋" w:hAnsi="宋体" w:cs="Arial"/>
          <w:bCs/>
          <w:sz w:val="24"/>
        </w:rPr>
      </w:pPr>
      <w:r>
        <w:rPr>
          <w:rFonts w:ascii="彩虹粗仿宋" w:eastAsia="彩虹粗仿宋" w:hAnsi="宋体" w:cs="Arial" w:hint="eastAsia"/>
          <w:bCs/>
          <w:sz w:val="24"/>
        </w:rPr>
        <w:t>基金所拥有的债券、银行存款本息、应收款项、资产支持证券、其它投资等资产及负债。</w:t>
      </w:r>
    </w:p>
    <w:p w14:paraId="60F3DB9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2.估值方法</w:t>
      </w:r>
    </w:p>
    <w:p w14:paraId="063D1EB5" w14:textId="31A2ACA6" w:rsidR="00B06AEE" w:rsidRDefault="00AD37FE">
      <w:pPr>
        <w:adjustRightInd w:val="0"/>
        <w:snapToGrid w:val="0"/>
        <w:ind w:firstLineChars="200" w:firstLine="480"/>
        <w:rPr>
          <w:rFonts w:ascii="彩虹粗仿宋" w:eastAsia="彩虹粗仿宋" w:hAnsi="宋体" w:cs="Arial"/>
          <w:sz w:val="24"/>
        </w:rPr>
      </w:pPr>
      <w:bookmarkStart w:id="88" w:name="_Hlk106461881"/>
      <w:r>
        <w:rPr>
          <w:rFonts w:ascii="彩虹粗仿宋" w:eastAsia="彩虹粗仿宋" w:hAnsi="宋体" w:cs="Arial" w:hint="eastAsia"/>
          <w:sz w:val="24"/>
        </w:rPr>
        <w:t>（1）本基金估值采用摊余成本法，即估值对象以买入成本列示，按票面利率或协议利率并考虑其买入时的溢价与折价，在其剩余</w:t>
      </w:r>
      <w:r w:rsidR="001122A6">
        <w:rPr>
          <w:rFonts w:ascii="彩虹粗仿宋" w:eastAsia="彩虹粗仿宋" w:hAnsi="宋体" w:cs="Arial" w:hint="eastAsia"/>
          <w:sz w:val="24"/>
        </w:rPr>
        <w:t>封闭</w:t>
      </w:r>
      <w:r>
        <w:rPr>
          <w:rFonts w:ascii="彩虹粗仿宋" w:eastAsia="彩虹粗仿宋" w:hAnsi="宋体" w:cs="Arial" w:hint="eastAsia"/>
          <w:sz w:val="24"/>
        </w:rPr>
        <w:t>期内按照实际利率法进行摊销。</w:t>
      </w:r>
    </w:p>
    <w:p w14:paraId="71CFC53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w:t>
      </w:r>
      <w:r>
        <w:rPr>
          <w:rFonts w:ascii="彩虹粗仿宋" w:eastAsia="彩虹粗仿宋" w:hAnsi="宋体" w:cs="Arial"/>
          <w:sz w:val="24"/>
        </w:rPr>
        <w:t>2</w:t>
      </w:r>
      <w:r>
        <w:rPr>
          <w:rFonts w:ascii="彩虹粗仿宋" w:eastAsia="彩虹粗仿宋" w:hAnsi="宋体" w:cs="Arial" w:hint="eastAsia"/>
          <w:sz w:val="24"/>
        </w:rPr>
        <w:t>）债券回购以协议成本列示，按协议利率在实际持有期内逐日计提利息。</w:t>
      </w:r>
    </w:p>
    <w:p w14:paraId="4ACDC96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3</w:t>
      </w:r>
      <w:r>
        <w:rPr>
          <w:rFonts w:ascii="彩虹粗仿宋" w:eastAsia="彩虹粗仿宋" w:hAnsi="宋体" w:cs="Arial" w:hint="eastAsia"/>
          <w:sz w:val="24"/>
        </w:rPr>
        <w:t>）银行存款以本金列示，按银行实际协议利率逐日计提利息。</w:t>
      </w:r>
    </w:p>
    <w:p w14:paraId="574AD1EF" w14:textId="79036B0F"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C04DE9">
        <w:rPr>
          <w:rFonts w:ascii="彩虹粗仿宋" w:eastAsia="彩虹粗仿宋" w:hAnsi="宋体" w:cs="Arial" w:hint="eastAsia"/>
          <w:sz w:val="24"/>
        </w:rPr>
        <w:t>4</w:t>
      </w:r>
      <w:r>
        <w:rPr>
          <w:rFonts w:ascii="彩虹粗仿宋" w:eastAsia="彩虹粗仿宋" w:hAnsi="宋体" w:cs="Arial" w:hint="eastAsia"/>
          <w:sz w:val="24"/>
        </w:rPr>
        <w:t>）基金应当按照企业会计准则的要求，评估金融资产是否发生减值，如有客观证据表明其发生减值的，应当计提减值准备。</w:t>
      </w:r>
    </w:p>
    <w:p w14:paraId="6C64B3AF" w14:textId="132F1032"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C04DE9">
        <w:rPr>
          <w:rFonts w:ascii="彩虹粗仿宋" w:eastAsia="彩虹粗仿宋" w:hAnsi="宋体" w:cs="Arial" w:hint="eastAsia"/>
          <w:sz w:val="24"/>
        </w:rPr>
        <w:t>5</w:t>
      </w:r>
      <w:r>
        <w:rPr>
          <w:rFonts w:ascii="彩虹粗仿宋" w:eastAsia="彩虹粗仿宋" w:hAnsi="宋体" w:cs="Arial" w:hint="eastAsia"/>
          <w:sz w:val="24"/>
        </w:rPr>
        <w:t>）本基金可以采用第三方估值机构按照上述公允价值确定原则提供的估值价格数据。</w:t>
      </w:r>
      <w:r>
        <w:rPr>
          <w:rFonts w:ascii="彩虹粗仿宋" w:eastAsia="彩虹粗仿宋" w:hAnsi="宋体" w:cs="Arial"/>
          <w:sz w:val="24"/>
        </w:rPr>
        <w:t>使用模型估值的，应当审慎确定模型参数，不得随意调整。</w:t>
      </w:r>
    </w:p>
    <w:p w14:paraId="6E4E360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sz w:val="24"/>
        </w:rPr>
        <w:t>对于仅依赖基金管理人所提供数据（包括不限于基金管理人自建模型定价）且无法从其他渠道获取可靠数据进行会计核算的投资品种，基金管理人应对该估值数据的真实性、准确性、完整性、合规性负责，因上述估值数据错误导致估值结果的不真实、不准确、不完整、不合规，基金托管人不承担相应责任。</w:t>
      </w:r>
    </w:p>
    <w:p w14:paraId="497CD675" w14:textId="0F8CF774"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C04DE9">
        <w:rPr>
          <w:rFonts w:ascii="彩虹粗仿宋" w:eastAsia="彩虹粗仿宋" w:hAnsi="宋体" w:cs="Arial" w:hint="eastAsia"/>
          <w:sz w:val="24"/>
        </w:rPr>
        <w:t>6</w:t>
      </w:r>
      <w:r>
        <w:rPr>
          <w:rFonts w:ascii="彩虹粗仿宋" w:eastAsia="彩虹粗仿宋" w:hAnsi="宋体" w:cs="Arial" w:hint="eastAsia"/>
          <w:sz w:val="24"/>
        </w:rPr>
        <w:t>）如有确凿证据表明按上述方法进行估值不能客观反映其公允价值的，基金管理人可根据具体情况与基金托管人商定后，按最能反映公允价值的价格估值。为最大限度保护基金份额持有人利益，基金管理人可采用的风险控制手段包括但不限于：处置信用风险显著增加的固定收益品种、及时评估和计提固定收益品种减值损失等。</w:t>
      </w:r>
    </w:p>
    <w:p w14:paraId="09155E4A" w14:textId="2DFDD3D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w:t>
      </w:r>
      <w:r w:rsidR="00C04DE9">
        <w:rPr>
          <w:rFonts w:ascii="彩虹粗仿宋" w:eastAsia="彩虹粗仿宋" w:hAnsi="宋体" w:cs="Arial" w:hint="eastAsia"/>
          <w:sz w:val="24"/>
        </w:rPr>
        <w:t>7</w:t>
      </w:r>
      <w:r>
        <w:rPr>
          <w:rFonts w:ascii="彩虹粗仿宋" w:eastAsia="彩虹粗仿宋" w:hAnsi="宋体" w:cs="Arial" w:hint="eastAsia"/>
          <w:sz w:val="24"/>
        </w:rPr>
        <w:t>）相关法律法规以及监管部门有强制规定的，从其规定。如有新增事项，按国家最新规定估值。</w:t>
      </w:r>
    </w:p>
    <w:p w14:paraId="13CF01D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如基金管理人或基金托管人发现基金估值违反基金合同订明的估值方法、程序及相关法律法规的规定或者未能充分维护基金份额持有人利益时，应立即通知对方，共同查明原因，双方协商解决。</w:t>
      </w:r>
    </w:p>
    <w:p w14:paraId="07859877" w14:textId="77777777" w:rsidR="00B06AEE" w:rsidRDefault="00AD37FE">
      <w:pPr>
        <w:adjustRightInd w:val="0"/>
        <w:snapToGrid w:val="0"/>
        <w:ind w:firstLine="480"/>
        <w:rPr>
          <w:rFonts w:ascii="彩虹粗仿宋" w:eastAsia="彩虹粗仿宋"/>
          <w:sz w:val="24"/>
          <w:szCs w:val="21"/>
        </w:rPr>
      </w:pPr>
      <w:r>
        <w:rPr>
          <w:rFonts w:ascii="彩虹粗仿宋" w:eastAsia="彩虹粗仿宋" w:hAnsi="宋体" w:cs="Arial" w:hint="eastAsia"/>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基金管理人向基金托管人出具盖章的书面说明后，按照基金管理人对基金净值信息的计算结果对外予以公布。</w:t>
      </w:r>
    </w:p>
    <w:p w14:paraId="2B36CDC8" w14:textId="77777777"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3.特殊情形的处理</w:t>
      </w:r>
    </w:p>
    <w:p w14:paraId="70814ADB" w14:textId="7DB4A981"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基金管理人、基金托管人按估值方法的第</w:t>
      </w:r>
      <w:proofErr w:type="gramStart"/>
      <w:r>
        <w:rPr>
          <w:rFonts w:ascii="彩虹粗仿宋" w:eastAsia="彩虹粗仿宋" w:hint="eastAsia"/>
          <w:kern w:val="0"/>
          <w:sz w:val="24"/>
        </w:rPr>
        <w:t>(</w:t>
      </w:r>
      <w:r w:rsidR="00C04DE9">
        <w:rPr>
          <w:rFonts w:ascii="彩虹粗仿宋" w:eastAsia="彩虹粗仿宋" w:hint="eastAsia"/>
          <w:kern w:val="0"/>
          <w:sz w:val="24"/>
        </w:rPr>
        <w:t>6</w:t>
      </w:r>
      <w:r>
        <w:rPr>
          <w:rFonts w:ascii="彩虹粗仿宋" w:eastAsia="彩虹粗仿宋" w:hint="eastAsia"/>
          <w:kern w:val="0"/>
          <w:sz w:val="24"/>
        </w:rPr>
        <w:t>)</w:t>
      </w:r>
      <w:proofErr w:type="gramEnd"/>
      <w:r>
        <w:rPr>
          <w:rFonts w:ascii="彩虹粗仿宋" w:eastAsia="彩虹粗仿宋" w:hint="eastAsia"/>
          <w:kern w:val="0"/>
          <w:sz w:val="24"/>
        </w:rPr>
        <w:t>项进行估值时，所造成的误差不作为基金资产估值错误处理。</w:t>
      </w:r>
    </w:p>
    <w:p w14:paraId="2B21A9E9" w14:textId="77777777"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（三）基金份额净值错误的处理方式</w:t>
      </w:r>
    </w:p>
    <w:p w14:paraId="4580128E" w14:textId="77777777"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1</w:t>
      </w:r>
      <w:proofErr w:type="gramStart"/>
      <w:r>
        <w:rPr>
          <w:rFonts w:ascii="彩虹粗仿宋" w:eastAsia="彩虹粗仿宋" w:hint="eastAsia"/>
          <w:kern w:val="0"/>
          <w:sz w:val="24"/>
        </w:rPr>
        <w:t>. 基金</w:t>
      </w:r>
      <w:proofErr w:type="gramEnd"/>
      <w:r>
        <w:rPr>
          <w:rFonts w:ascii="彩虹粗仿宋" w:eastAsia="彩虹粗仿宋" w:hint="eastAsia"/>
          <w:kern w:val="0"/>
          <w:sz w:val="24"/>
        </w:rPr>
        <w:t>管理人和基金托管人将采取必要、适当、合理的措施确保基金资产估值的准确性、及时性。当基金份额净值小数点后</w:t>
      </w:r>
      <w:r>
        <w:rPr>
          <w:rFonts w:ascii="彩虹粗仿宋" w:eastAsia="彩虹粗仿宋"/>
          <w:kern w:val="0"/>
          <w:sz w:val="24"/>
        </w:rPr>
        <w:t>4</w:t>
      </w:r>
      <w:r>
        <w:rPr>
          <w:rFonts w:ascii="彩虹粗仿宋" w:eastAsia="彩虹粗仿宋" w:hint="eastAsia"/>
          <w:kern w:val="0"/>
          <w:sz w:val="24"/>
        </w:rPr>
        <w:t>位以内</w:t>
      </w:r>
      <w:proofErr w:type="gramStart"/>
      <w:r>
        <w:rPr>
          <w:rFonts w:ascii="彩虹粗仿宋" w:eastAsia="彩虹粗仿宋" w:hint="eastAsia"/>
          <w:kern w:val="0"/>
          <w:sz w:val="24"/>
        </w:rPr>
        <w:t>(含第</w:t>
      </w:r>
      <w:r>
        <w:rPr>
          <w:rFonts w:ascii="彩虹粗仿宋" w:eastAsia="彩虹粗仿宋"/>
          <w:kern w:val="0"/>
          <w:sz w:val="24"/>
        </w:rPr>
        <w:t>4</w:t>
      </w:r>
      <w:r>
        <w:rPr>
          <w:rFonts w:ascii="彩虹粗仿宋" w:eastAsia="彩虹粗仿宋" w:hint="eastAsia"/>
          <w:kern w:val="0"/>
          <w:sz w:val="24"/>
        </w:rPr>
        <w:t>位)</w:t>
      </w:r>
      <w:proofErr w:type="gramEnd"/>
      <w:r>
        <w:rPr>
          <w:rFonts w:ascii="彩虹粗仿宋" w:eastAsia="彩虹粗仿宋" w:hint="eastAsia"/>
          <w:kern w:val="0"/>
          <w:sz w:val="24"/>
        </w:rPr>
        <w:t>发生估值错误时，视为基金份额净值错误；基金份额净值计算出现错误时，基金管理人应当立即予以纠正，通报基金托管人，并采取合理的措施防止损失进一步扩大；错误偏差达到或超过基金份额净值的0.25%时，基金管理人应当通报基金托管人并报中</w:t>
      </w:r>
      <w:r>
        <w:rPr>
          <w:rFonts w:ascii="彩虹粗仿宋" w:eastAsia="彩虹粗仿宋" w:hint="eastAsia"/>
          <w:kern w:val="0"/>
          <w:sz w:val="24"/>
        </w:rPr>
        <w:lastRenderedPageBreak/>
        <w:t>国证监会备案；错误偏差达到或超过基金份额净值的0.5%时，基金管理人应当公告并报中国证监会备案；当发生净值计算错误时，由基金管理人负责处理，因基金份额净值计算错误给基金份额持有人和基金造成损失的，应由基金管理人先行赔付，基金管理人按差错情形，有权向其他当事人追偿。</w:t>
      </w:r>
    </w:p>
    <w:p w14:paraId="5D54B34A" w14:textId="77777777"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2.当基金份额净值计算差错给基金和基金份额持有人造成损失需要进行赔偿时，基金管理人和基金托管人应根据实际情况界定双方承担的责任，经确认后按以下条款进行赔偿：</w:t>
      </w:r>
    </w:p>
    <w:p w14:paraId="156F18B1" w14:textId="77777777" w:rsidR="00B06AEE" w:rsidRDefault="00AD37FE">
      <w:pPr>
        <w:adjustRightInd w:val="0"/>
        <w:snapToGrid w:val="0"/>
        <w:ind w:firstLineChars="200" w:firstLine="480"/>
        <w:rPr>
          <w:rFonts w:ascii="彩虹粗仿宋" w:eastAsia="彩虹粗仿宋"/>
          <w:kern w:val="0"/>
          <w:sz w:val="24"/>
        </w:rPr>
      </w:pPr>
      <w:r>
        <w:rPr>
          <w:rFonts w:ascii="彩虹粗仿宋" w:eastAsia="彩虹粗仿宋" w:hint="eastAsia"/>
          <w:kern w:val="0"/>
          <w:sz w:val="24"/>
        </w:rPr>
        <w:t>(1)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14:paraId="62130CF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w:t>
      </w:r>
      <w:r>
        <w:rPr>
          <w:rFonts w:ascii="彩虹粗仿宋" w:eastAsia="彩虹粗仿宋" w:hint="eastAsia"/>
          <w:kern w:val="0"/>
          <w:sz w:val="24"/>
        </w:rPr>
        <w:t>若基金管理人计算的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比例各自承担相应的责任。</w:t>
      </w:r>
    </w:p>
    <w:p w14:paraId="0FE5A20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如基金管理人和基金托管人对基金份额净值的计算结果，虽然多次重新计算和核对，尚不能达成一致时，为避免不能按时公布基金份额净值的情形，以基金管理人的计算结果对外公布，由此给基金份额持有人和基金造成的损失，由基金管理人负责赔付。</w:t>
      </w:r>
    </w:p>
    <w:p w14:paraId="7785736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w:t>
      </w:r>
      <w:r>
        <w:rPr>
          <w:rFonts w:ascii="彩虹粗仿宋" w:eastAsia="彩虹粗仿宋" w:hint="eastAsia"/>
          <w:kern w:val="0"/>
          <w:sz w:val="24"/>
        </w:rPr>
        <w:t>由于基金管理人提供的信息错误，进而导致基金份额净值计算错误而引起的基金份额持有人和基金财产的损失，由基金管理人负责赔付。</w:t>
      </w:r>
    </w:p>
    <w:p w14:paraId="55AA2617" w14:textId="6F29376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由于证券交易所、证券经营机构、登记结算公司及存款银行等第三方机构发送的数据错误，有关会计制度变化或由于其他不可抗力原因，基金管理人和基金托管人虽然已经采取必要、适当、合理的措施进行检查，但是未能发现该错误而造成的基金资产估值错误，基金管理人、基金托管人免除赔偿责任。但基金管理人、基金托管人应积极采取必要的措施减轻或消除由此造成的影响。</w:t>
      </w:r>
    </w:p>
    <w:p w14:paraId="7B84262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4.基金管理人和基金托管人由于各自技术系统设置而产生的净值计算尾差，以基金管理人计算结果为准。</w:t>
      </w:r>
    </w:p>
    <w:p w14:paraId="17B9AD2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5.前述内容如法律法规或者监管机关另有规定的，从其规定。如果行业另有通行做法，双方当事人应本着平等和保护基金份额持有人利益的原则进行协商。</w:t>
      </w:r>
    </w:p>
    <w:p w14:paraId="493436CA"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（四）暂停估值的情形</w:t>
      </w:r>
    </w:p>
    <w:p w14:paraId="7326AEC2" w14:textId="691B5C6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1.基金投资所涉及的证券交易市场遇法定节假日或因其他原因暂停营业时；</w:t>
      </w:r>
    </w:p>
    <w:p w14:paraId="2E0B3E57"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2.因不可抗力或其他情形致使基金管理人、基金托管人无法准确评估基金资产价值时；</w:t>
      </w:r>
    </w:p>
    <w:p w14:paraId="00635ECF"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sz w:val="24"/>
        </w:rPr>
        <w:lastRenderedPageBreak/>
        <w:t>3</w:t>
      </w:r>
      <w:r>
        <w:rPr>
          <w:rFonts w:ascii="彩虹粗仿宋" w:eastAsia="彩虹粗仿宋" w:hAnsi="宋体" w:cs="Arial" w:hint="eastAsia"/>
          <w:sz w:val="24"/>
        </w:rPr>
        <w:t>.法律法规规定、中国证监会和《基金合同》认定的其他情形。</w:t>
      </w:r>
    </w:p>
    <w:bookmarkEnd w:id="88"/>
    <w:p w14:paraId="6F20EC7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（五）基金会计制度</w:t>
      </w:r>
    </w:p>
    <w:p w14:paraId="5D1D936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按国家有关部门规定的会计制度执行。</w:t>
      </w:r>
    </w:p>
    <w:p w14:paraId="52AD03E0"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（六）基金账册的建立</w:t>
      </w:r>
    </w:p>
    <w:p w14:paraId="527A955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进行基金会计核算并编制基金财务会计报告。基金管理人、基金托管人分别独立地设置、记录和保管本基金的全套账册。若基金管理人和基金托管人对会计处理方法存在分歧，应以基金管理人的处理方法为准。若当日核对不符，暂时无法查找到错账的原因而影响到基金资产净值的计算和公告的，以基金管理人的账册为准。</w:t>
      </w:r>
    </w:p>
    <w:p w14:paraId="43BF48AD"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（七）基金财务报表与报告的编制和复核</w:t>
      </w:r>
    </w:p>
    <w:p w14:paraId="1C53DF2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1.财务报表的编制</w:t>
      </w:r>
    </w:p>
    <w:p w14:paraId="58A5A26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基金财务报表由基金管理人编制，基金托管人复核。</w:t>
      </w:r>
    </w:p>
    <w:p w14:paraId="655345B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2.报表复核</w:t>
      </w:r>
    </w:p>
    <w:p w14:paraId="46A58B1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基金托管人在收到基金管理人编制的基金财务报表后，进行独立的复核。核对不符时，应及时通知基金管理人共同查出原因，进行调整，直至双方数据完全一致。</w:t>
      </w:r>
    </w:p>
    <w:p w14:paraId="57D4D70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3.财务报表的编制与复核时间安排</w:t>
      </w:r>
    </w:p>
    <w:p w14:paraId="1B49145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(1)报表的编制</w:t>
      </w:r>
    </w:p>
    <w:p w14:paraId="5D9CF77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基金管理人应当在每月结束后5个工作日内完成月度报表的编制；在季度结束之日起15个工作日内完成基金季度报告的编制；在上半年结束之日起</w:t>
      </w:r>
      <w:r>
        <w:rPr>
          <w:rFonts w:ascii="彩虹粗仿宋" w:eastAsia="彩虹粗仿宋" w:hAnsi="宋体" w:cs="Arial"/>
          <w:sz w:val="24"/>
        </w:rPr>
        <w:t>2个月</w:t>
      </w:r>
      <w:r>
        <w:rPr>
          <w:rFonts w:ascii="彩虹粗仿宋" w:eastAsia="彩虹粗仿宋" w:hAnsi="宋体" w:cs="Arial" w:hint="eastAsia"/>
          <w:sz w:val="24"/>
        </w:rPr>
        <w:t>内完成基金中期报告的编制；在每年结束之日起</w:t>
      </w:r>
      <w:r>
        <w:rPr>
          <w:rFonts w:ascii="彩虹粗仿宋" w:eastAsia="彩虹粗仿宋" w:hAnsi="宋体" w:cs="Arial"/>
          <w:sz w:val="24"/>
        </w:rPr>
        <w:t>3个月</w:t>
      </w:r>
      <w:r>
        <w:rPr>
          <w:rFonts w:ascii="彩虹粗仿宋" w:eastAsia="彩虹粗仿宋" w:hAnsi="宋体" w:cs="Arial" w:hint="eastAsia"/>
          <w:sz w:val="24"/>
        </w:rPr>
        <w:t>内完成基金年度报告的编制。基金年度报告的财务会计报告应当经过符合《中华人民共和国证券法》规定会计师事务所审计。《基金合同》生效不足两个月的，基金管理人可以不编制当期季度报告、中期报告或者年度报告。</w:t>
      </w:r>
    </w:p>
    <w:p w14:paraId="69CE3EC2" w14:textId="77777777"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(2)报表的复核</w:t>
      </w:r>
    </w:p>
    <w:p w14:paraId="284A90F7" w14:textId="77777777"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14:paraId="4FA80A34" w14:textId="77777777"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基金管理人应留足充分的时间，便于基金托管人复核相关报表及报告。如果基金管理人与基金托管人不能于应当发布公告之日之前就相关报表达成一致，基金管理人有权按照其编制的报表对外发布公告，基金托管人有权就相关情况报中国证监会备案。</w:t>
      </w:r>
    </w:p>
    <w:p w14:paraId="7C9C48C0" w14:textId="726BBA84"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t>（八）基金管理人应在编制季度报告、中期报告或者年度报告之前及时向基金托管人提供基金业绩比较基准的基础数据和编制结果。</w:t>
      </w:r>
    </w:p>
    <w:p w14:paraId="129FE21E" w14:textId="29DF416E" w:rsidR="00B06AEE" w:rsidRDefault="00AD37FE">
      <w:pPr>
        <w:pStyle w:val="NormalIndent"/>
        <w:adjustRightInd w:val="0"/>
        <w:snapToGrid w:val="0"/>
        <w:ind w:firstLine="480"/>
        <w:rPr>
          <w:rFonts w:ascii="彩虹粗仿宋" w:eastAsia="彩虹粗仿宋" w:hAnsi="宋体" w:cs="Arial"/>
          <w:sz w:val="24"/>
        </w:rPr>
      </w:pPr>
      <w:r>
        <w:rPr>
          <w:rFonts w:ascii="彩虹粗仿宋" w:eastAsia="彩虹粗仿宋" w:hAnsi="宋体" w:cs="Arial" w:hint="eastAsia"/>
          <w:sz w:val="24"/>
        </w:rPr>
        <w:lastRenderedPageBreak/>
        <w:t>（九）基金管理人可委托符合条件的基金估值机构进行基金会计核算并编制相关报告，与基金托管人的估值处理等流程由相关方另行协商确定。</w:t>
      </w:r>
    </w:p>
    <w:p w14:paraId="1AB24FD3" w14:textId="77777777" w:rsidR="00B06AEE" w:rsidRDefault="00B06AEE">
      <w:pPr>
        <w:pStyle w:val="NormalIndent"/>
        <w:adjustRightInd w:val="0"/>
        <w:snapToGrid w:val="0"/>
        <w:ind w:firstLineChars="0" w:firstLine="0"/>
        <w:rPr>
          <w:rFonts w:ascii="彩虹粗仿宋" w:eastAsia="彩虹粗仿宋" w:hAnsi="宋体" w:cs="Arial"/>
          <w:sz w:val="24"/>
        </w:rPr>
      </w:pPr>
    </w:p>
    <w:p w14:paraId="45AD0A99" w14:textId="77777777" w:rsidR="00B06AEE" w:rsidRDefault="00AD37FE">
      <w:pPr>
        <w:pStyle w:val="Heading2"/>
        <w:jc w:val="center"/>
        <w:rPr>
          <w:rFonts w:ascii="彩虹粗仿宋" w:eastAsia="彩虹粗仿宋"/>
          <w:sz w:val="30"/>
        </w:rPr>
      </w:pPr>
      <w:bookmarkStart w:id="89" w:name="_Toc124325893"/>
      <w:r>
        <w:rPr>
          <w:rFonts w:ascii="彩虹粗仿宋" w:eastAsia="彩虹粗仿宋" w:hint="eastAsia"/>
          <w:sz w:val="30"/>
        </w:rPr>
        <w:t>九、基金收益分配</w:t>
      </w:r>
      <w:bookmarkEnd w:id="89"/>
    </w:p>
    <w:p w14:paraId="1A7C6B3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基金收益分配是指按规定将基金的可分配收益按基金份额进行比例分配。</w:t>
      </w:r>
    </w:p>
    <w:p w14:paraId="322A22C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（一）基金收益分配的原则</w:t>
      </w:r>
    </w:p>
    <w:p w14:paraId="1585FC0D" w14:textId="77777777" w:rsidR="00B06AEE" w:rsidRDefault="00AD37FE">
      <w:pPr>
        <w:adjustRightInd w:val="0"/>
        <w:snapToGrid w:val="0"/>
        <w:ind w:firstLineChars="200" w:firstLine="480"/>
        <w:rPr>
          <w:rFonts w:ascii="彩虹粗仿宋" w:eastAsia="彩虹粗仿宋" w:hAnsi="宋体" w:cs="Arial"/>
          <w:sz w:val="24"/>
        </w:rPr>
      </w:pPr>
      <w:bookmarkStart w:id="90" w:name="_Hlk106659692"/>
      <w:r>
        <w:rPr>
          <w:rFonts w:ascii="彩虹粗仿宋" w:eastAsia="彩虹粗仿宋" w:hAnsi="宋体" w:cs="Arial" w:hint="eastAsia"/>
          <w:sz w:val="24"/>
        </w:rPr>
        <w:t>基金收益分配应遵循下列原则：</w:t>
      </w:r>
    </w:p>
    <w:p w14:paraId="50232F9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1、在符合有关基金分红的条件下，本基金每年至少进行收益分配1次，每次收益分配的比例应不低于基金年度可供分配金额的90%。若《基金合同》生效不满3个月可不进行收益分配；</w:t>
      </w:r>
    </w:p>
    <w:p w14:paraId="70E504B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2、本基金收益分配方式为现金分红；</w:t>
      </w:r>
    </w:p>
    <w:p w14:paraId="1CF323B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3、基金收益分配后基金份额净值不能低于面值，即基金收益分配基准日的基金份额净值减去每单位基金份额收益分配金额后不能低于面值；</w:t>
      </w:r>
    </w:p>
    <w:p w14:paraId="36AF17A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4、每一基金份额享有同等分配权；</w:t>
      </w:r>
    </w:p>
    <w:p w14:paraId="762B1D28"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5、法律法规或监管机关另有规定的，从其规定。</w:t>
      </w:r>
    </w:p>
    <w:bookmarkEnd w:id="90"/>
    <w:p w14:paraId="6F0A9046"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（二）基金收益分配的时间和程序</w:t>
      </w:r>
    </w:p>
    <w:p w14:paraId="034DBA4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本基金收益分配方案由基金管理人拟订，并由基金托管人复核，依照《信息披露办法》的有关规定在规定媒介公告。基金收益分配方案公告后</w:t>
      </w:r>
      <w:proofErr w:type="gramStart"/>
      <w:r>
        <w:rPr>
          <w:rFonts w:ascii="彩虹粗仿宋" w:eastAsia="彩虹粗仿宋" w:hAnsi="宋体" w:cs="Arial" w:hint="eastAsia"/>
          <w:sz w:val="24"/>
        </w:rPr>
        <w:t>(依据具体方案的规定)</w:t>
      </w:r>
      <w:proofErr w:type="gramEnd"/>
      <w:r>
        <w:rPr>
          <w:rFonts w:ascii="彩虹粗仿宋" w:eastAsia="彩虹粗仿宋" w:hAnsi="宋体" w:cs="Arial" w:hint="eastAsia"/>
          <w:sz w:val="24"/>
        </w:rPr>
        <w:t>，基金管理人就支付的现金红利向基金托管人发送划款指令，基金托管人按照基金管理人的指令及时进行分红资金的划付。</w:t>
      </w:r>
    </w:p>
    <w:p w14:paraId="57F0F2F7"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基金收益分配时所发生的银行转账或其他手续费用由投资者自行承担。</w:t>
      </w:r>
    </w:p>
    <w:p w14:paraId="2E7B1942" w14:textId="77777777" w:rsidR="00B06AEE" w:rsidRDefault="00B06AEE">
      <w:pPr>
        <w:adjustRightInd w:val="0"/>
        <w:snapToGrid w:val="0"/>
        <w:rPr>
          <w:rFonts w:ascii="彩虹粗仿宋" w:eastAsia="彩虹粗仿宋" w:hAnsi="宋体" w:cs="Arial"/>
          <w:sz w:val="24"/>
        </w:rPr>
      </w:pPr>
    </w:p>
    <w:p w14:paraId="4384B1EC" w14:textId="77777777" w:rsidR="00B06AEE" w:rsidRDefault="00AD37FE">
      <w:pPr>
        <w:pStyle w:val="Heading2"/>
        <w:jc w:val="center"/>
        <w:rPr>
          <w:rFonts w:ascii="彩虹粗仿宋" w:eastAsia="彩虹粗仿宋"/>
          <w:sz w:val="30"/>
        </w:rPr>
      </w:pPr>
      <w:bookmarkStart w:id="91" w:name="_Toc124325894"/>
      <w:r>
        <w:rPr>
          <w:rFonts w:ascii="彩虹粗仿宋" w:eastAsia="彩虹粗仿宋" w:hint="eastAsia"/>
          <w:sz w:val="30"/>
        </w:rPr>
        <w:t>十、基金信息披露</w:t>
      </w:r>
      <w:bookmarkEnd w:id="91"/>
    </w:p>
    <w:p w14:paraId="54AA865F"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（一）保密义务</w:t>
      </w:r>
    </w:p>
    <w:p w14:paraId="2CF1C9F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基金托管人和基金管理人应按法律法规、《基金合同》的有关规定进行信息披露，拟公开披露的信息在公开披露之前应予保密。除按《基金法》</w:t>
      </w:r>
      <w:r>
        <w:rPr>
          <w:rFonts w:ascii="彩虹粗仿宋" w:eastAsia="彩虹粗仿宋" w:hAnsi="宋体" w:cs="Arial"/>
          <w:bCs/>
          <w:sz w:val="24"/>
        </w:rPr>
        <w:t>、《运作办法》</w:t>
      </w:r>
      <w:r>
        <w:rPr>
          <w:rFonts w:ascii="彩虹粗仿宋" w:eastAsia="彩虹粗仿宋" w:hAnsi="宋体" w:cs="Arial" w:hint="eastAsia"/>
          <w:sz w:val="24"/>
        </w:rPr>
        <w:t>、《基金合同》、《信息披露办法》及其他有关规定进行信息披露外，基金管理人和基金托管人对基金运作中产生的信息以及从对方获得的业务信息应予保密。但是，如下情况不应视为基金管理人或基金托管人违反保密义务：</w:t>
      </w:r>
    </w:p>
    <w:p w14:paraId="52DE18A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1.非因基金管理人和基金托管人的原因导致保密信息被披露、泄露或公开；</w:t>
      </w:r>
    </w:p>
    <w:p w14:paraId="2D652F5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2.基金管理人和基金托管人为遵守和服从法院判决或裁定、仲裁裁决或中国证监会等监管机构的命令、决定所做出的信息披露或公开。</w:t>
      </w:r>
    </w:p>
    <w:p w14:paraId="1DD5E091"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（二）信息披露的内容</w:t>
      </w:r>
    </w:p>
    <w:p w14:paraId="3114EADA" w14:textId="59B4CE0F"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基金的信息披露内容主要包括基金招募说明书、《基金合同》、托管协议、基金产品资料概要、基金份额发售公告、《基金合同》生效公告、基金净值信息、基金定期报告（包括基金年度报告、基金中期报告和基金季度报告）、临时报告、澄清公告、清算报告、基金份额持有人大会决议、</w:t>
      </w:r>
      <w:r w:rsidR="0028227A" w:rsidRPr="002747BD">
        <w:rPr>
          <w:rFonts w:ascii="彩虹粗仿宋" w:eastAsia="彩虹粗仿宋" w:hAnsi="宋体" w:cs="Arial" w:hint="eastAsia"/>
          <w:sz w:val="24"/>
        </w:rPr>
        <w:t>投资</w:t>
      </w:r>
      <w:r>
        <w:rPr>
          <w:rFonts w:ascii="彩虹粗仿宋" w:eastAsia="彩虹粗仿宋" w:hAnsi="宋体" w:cs="Arial"/>
          <w:sz w:val="24"/>
        </w:rPr>
        <w:t>资产支持证券</w:t>
      </w:r>
      <w:r w:rsidR="0028227A" w:rsidRPr="002747BD">
        <w:rPr>
          <w:rFonts w:ascii="彩虹粗仿宋" w:eastAsia="彩虹粗仿宋" w:hAnsi="宋体" w:cs="Arial" w:hint="eastAsia"/>
          <w:sz w:val="24"/>
        </w:rPr>
        <w:t>的信息披露</w:t>
      </w:r>
      <w:r>
        <w:rPr>
          <w:rFonts w:ascii="彩虹粗仿宋" w:eastAsia="彩虹粗仿宋" w:hAnsi="宋体" w:cs="Arial" w:hint="eastAsia"/>
          <w:sz w:val="24"/>
        </w:rPr>
        <w:t>、中国证监会规定的其他信息。基金年度报告中的财务会计报告需经符合《中华人民共和国证券法》规定的会计师事务所审计后，方可披露。</w:t>
      </w:r>
    </w:p>
    <w:p w14:paraId="0A826E50"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（三）基金托管人和基金管理人在信息披露中的职责和信息披露程序</w:t>
      </w:r>
    </w:p>
    <w:p w14:paraId="48CEA09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1.职责</w:t>
      </w:r>
    </w:p>
    <w:p w14:paraId="39F4B806" w14:textId="49566FC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上一款规定的应由基金托管人复核的事项进行复核，基金托管人复核无误后，由基金管理人予以公布。基金管理人在信息披露时，应说明基金托管人所复核的数据和信息。对于基金托管人复核结果与基金管理人无法达成一致的，基金管理人应按照有关法律法规进行信息披露。</w:t>
      </w:r>
    </w:p>
    <w:p w14:paraId="7C4483D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对于不需要基金托管人复核的信息，基金管理人在公告前应告知基金托管人。</w:t>
      </w:r>
    </w:p>
    <w:p w14:paraId="6B838C4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基金管理人和基金托管人应积极配合、互相监督，保证其履行按照法定方式和限时披露的义务。</w:t>
      </w:r>
    </w:p>
    <w:p w14:paraId="30A9554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基金管理人应当在中国证监会规定的时间内，将应予披露的基金信息通过规定媒介披露。根据法律法规应由基金托管人公开披露的信息，基金托管人将通过规定媒介公开披露。</w:t>
      </w:r>
    </w:p>
    <w:p w14:paraId="6B39B519"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当出现下述情况时，基金管理人和基金托管人可暂停或延迟披露基金相关信息：</w:t>
      </w:r>
    </w:p>
    <w:p w14:paraId="1FE56949" w14:textId="49D18181"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sz w:val="24"/>
        </w:rPr>
        <w:t>（1）基金投资所涉及的证券交易所遇法定节假日或因其他原因暂停营业时；</w:t>
      </w:r>
    </w:p>
    <w:p w14:paraId="3F04C9E5"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sz w:val="24"/>
        </w:rPr>
        <w:t>（2）因不可抗力</w:t>
      </w:r>
      <w:r>
        <w:rPr>
          <w:rFonts w:ascii="彩虹粗仿宋" w:eastAsia="彩虹粗仿宋" w:hAnsi="宋体" w:cs="Arial" w:hint="eastAsia"/>
          <w:sz w:val="24"/>
        </w:rPr>
        <w:t>或其他情形</w:t>
      </w:r>
      <w:r>
        <w:rPr>
          <w:rFonts w:ascii="彩虹粗仿宋" w:eastAsia="彩虹粗仿宋" w:hAnsi="宋体" w:cs="Arial"/>
          <w:sz w:val="24"/>
        </w:rPr>
        <w:t>致使基金管理人、基金托管人无法准确评估基金资产价值时；</w:t>
      </w:r>
    </w:p>
    <w:p w14:paraId="35C22EC2"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w:t>
      </w:r>
      <w:r>
        <w:rPr>
          <w:rFonts w:ascii="彩虹粗仿宋" w:eastAsia="彩虹粗仿宋" w:hAnsi="宋体" w:cs="Arial"/>
          <w:sz w:val="24"/>
        </w:rPr>
        <w:t>3</w:t>
      </w:r>
      <w:r>
        <w:rPr>
          <w:rFonts w:ascii="彩虹粗仿宋" w:eastAsia="彩虹粗仿宋" w:hAnsi="宋体" w:cs="Arial" w:hint="eastAsia"/>
          <w:sz w:val="24"/>
        </w:rPr>
        <w:t>）</w:t>
      </w:r>
      <w:r>
        <w:rPr>
          <w:rFonts w:ascii="彩虹粗仿宋" w:eastAsia="彩虹粗仿宋" w:hAnsi="宋体" w:cs="Arial"/>
          <w:sz w:val="24"/>
        </w:rPr>
        <w:t>法律法规规定、中国证监会或《基金合同》认定的其他情形。</w:t>
      </w:r>
    </w:p>
    <w:p w14:paraId="758896C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2.程序</w:t>
      </w:r>
    </w:p>
    <w:p w14:paraId="140D230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按有关规定须经基金托管人复核的信息披露文件，由基金管理人起草、并经基金托管人复核后由基金管理人公告。发生《基金合同》中规定需要披露的事项时，按《基金合同》规定公布。</w:t>
      </w:r>
    </w:p>
    <w:p w14:paraId="5705184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3.信息文本的存放</w:t>
      </w:r>
    </w:p>
    <w:p w14:paraId="79826FF4"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予以披露的信息文本，存放在基金管理人/基金托管人各自住所，投资者可以免费查阅。投资者在支付工本费后可在合理时间获得上述文件的复制件或复印件。基金管理人和基金托管人应保证文本的内容与所公告的内容完全一致。</w:t>
      </w:r>
    </w:p>
    <w:p w14:paraId="7FA8FA3D" w14:textId="40FD9162"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（四）法律法规或监管部门对适用于本基金的信息披露另有规定的，从其规定。如规定发生变化的，从其最新规定。</w:t>
      </w:r>
    </w:p>
    <w:p w14:paraId="1094E0C9" w14:textId="77777777" w:rsidR="00B06AEE" w:rsidRDefault="00B06AEE">
      <w:pPr>
        <w:pStyle w:val="NormalIndent"/>
        <w:ind w:firstLineChars="0" w:firstLine="0"/>
        <w:rPr>
          <w:rFonts w:ascii="彩虹粗仿宋" w:eastAsia="彩虹粗仿宋" w:hAnsi="宋体" w:cs="Arial"/>
          <w:sz w:val="24"/>
        </w:rPr>
      </w:pPr>
    </w:p>
    <w:p w14:paraId="3A8044C7" w14:textId="77777777" w:rsidR="00B06AEE" w:rsidRDefault="00AD37FE">
      <w:pPr>
        <w:pStyle w:val="Heading2"/>
        <w:jc w:val="center"/>
        <w:rPr>
          <w:rFonts w:ascii="彩虹粗仿宋" w:eastAsia="彩虹粗仿宋"/>
          <w:sz w:val="30"/>
        </w:rPr>
      </w:pPr>
      <w:bookmarkStart w:id="92" w:name="_Toc124325895"/>
      <w:r>
        <w:rPr>
          <w:rFonts w:ascii="彩虹粗仿宋" w:eastAsia="彩虹粗仿宋" w:hint="eastAsia"/>
          <w:sz w:val="30"/>
        </w:rPr>
        <w:t>十一、基金费用</w:t>
      </w:r>
      <w:bookmarkEnd w:id="92"/>
    </w:p>
    <w:p w14:paraId="65DB64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（一）基金管理费的计提比例和计提方法</w:t>
      </w:r>
    </w:p>
    <w:p w14:paraId="2CA1E2E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本基金的管理费按前一日基金资产净值的0.15%年费率计提。管理费的计算方法如下：</w:t>
      </w:r>
    </w:p>
    <w:p w14:paraId="598AE18E" w14:textId="77777777" w:rsidR="00B06AEE" w:rsidRDefault="00AD37FE">
      <w:pPr>
        <w:adjustRightInd w:val="0"/>
        <w:snapToGrid w:val="0"/>
        <w:ind w:firstLineChars="200" w:firstLine="480"/>
        <w:rPr>
          <w:rFonts w:ascii="彩虹粗仿宋" w:eastAsia="彩虹粗仿宋" w:hAnsi="宋体" w:cs="Arial"/>
          <w:sz w:val="24"/>
        </w:rPr>
      </w:pPr>
      <w:proofErr w:type="gramStart"/>
      <w:r>
        <w:rPr>
          <w:rFonts w:ascii="彩虹粗仿宋" w:eastAsia="彩虹粗仿宋" w:hAnsi="宋体" w:cs="Arial" w:hint="eastAsia"/>
          <w:sz w:val="24"/>
        </w:rPr>
        <w:t>H＝</w:t>
      </w:r>
      <w:proofErr w:type="gramEnd"/>
      <w:r>
        <w:rPr>
          <w:rFonts w:ascii="彩虹粗仿宋" w:eastAsia="彩虹粗仿宋" w:hAnsi="宋体" w:cs="Arial" w:hint="eastAsia"/>
          <w:sz w:val="24"/>
        </w:rPr>
        <w:t>E×</w:t>
      </w:r>
      <w:r>
        <w:rPr>
          <w:rFonts w:ascii="彩虹粗仿宋" w:eastAsia="彩虹粗仿宋" w:hAnsi="宋体" w:cs="Arial"/>
          <w:sz w:val="24"/>
        </w:rPr>
        <w:t>0.</w:t>
      </w:r>
      <w:r>
        <w:rPr>
          <w:rFonts w:ascii="彩虹粗仿宋" w:eastAsia="彩虹粗仿宋" w:hAnsi="宋体" w:cs="Arial" w:hint="eastAsia"/>
          <w:sz w:val="24"/>
        </w:rPr>
        <w:t>15</w:t>
      </w:r>
      <w:r>
        <w:rPr>
          <w:rFonts w:ascii="彩虹粗仿宋" w:eastAsia="彩虹粗仿宋" w:hAnsi="宋体" w:cs="Arial"/>
          <w:sz w:val="24"/>
        </w:rPr>
        <w:t>%</w:t>
      </w:r>
      <w:r>
        <w:rPr>
          <w:rFonts w:ascii="彩虹粗仿宋" w:eastAsia="彩虹粗仿宋" w:hAnsi="宋体" w:cs="Arial" w:hint="eastAsia"/>
          <w:sz w:val="24"/>
        </w:rPr>
        <w:t>÷当年天数</w:t>
      </w:r>
    </w:p>
    <w:p w14:paraId="3FFBE76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H为每日应计提的基金管理费</w:t>
      </w:r>
    </w:p>
    <w:p w14:paraId="3DE9BDC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E为前一日的基金资产净值</w:t>
      </w:r>
    </w:p>
    <w:p w14:paraId="4B214C5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（二）基金托管费的计提比例和计提方法</w:t>
      </w:r>
    </w:p>
    <w:p w14:paraId="577A540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本基金的托管费按前一日基金资产净值的0.05%的年费率计提。托管费的计算方法如下：</w:t>
      </w:r>
    </w:p>
    <w:p w14:paraId="0AF7B4F8" w14:textId="77777777" w:rsidR="00B06AEE" w:rsidRDefault="00AD37FE">
      <w:pPr>
        <w:adjustRightInd w:val="0"/>
        <w:snapToGrid w:val="0"/>
        <w:ind w:firstLineChars="200" w:firstLine="480"/>
        <w:rPr>
          <w:rFonts w:ascii="彩虹粗仿宋" w:eastAsia="彩虹粗仿宋" w:hAnsi="宋体" w:cs="Arial"/>
          <w:sz w:val="24"/>
        </w:rPr>
      </w:pPr>
      <w:proofErr w:type="gramStart"/>
      <w:r>
        <w:rPr>
          <w:rFonts w:ascii="彩虹粗仿宋" w:eastAsia="彩虹粗仿宋" w:hAnsi="宋体" w:cs="Arial" w:hint="eastAsia"/>
          <w:sz w:val="24"/>
        </w:rPr>
        <w:t>H＝</w:t>
      </w:r>
      <w:proofErr w:type="gramEnd"/>
      <w:r>
        <w:rPr>
          <w:rFonts w:ascii="彩虹粗仿宋" w:eastAsia="彩虹粗仿宋" w:hAnsi="宋体" w:cs="Arial" w:hint="eastAsia"/>
          <w:sz w:val="24"/>
        </w:rPr>
        <w:t>E×</w:t>
      </w:r>
      <w:r>
        <w:rPr>
          <w:rFonts w:ascii="彩虹粗仿宋" w:eastAsia="彩虹粗仿宋" w:hAnsi="宋体" w:cs="Arial"/>
          <w:sz w:val="24"/>
        </w:rPr>
        <w:t>0.</w:t>
      </w:r>
      <w:r>
        <w:rPr>
          <w:rFonts w:ascii="彩虹粗仿宋" w:eastAsia="彩虹粗仿宋" w:hAnsi="宋体" w:cs="Arial" w:hint="eastAsia"/>
          <w:sz w:val="24"/>
        </w:rPr>
        <w:t>05</w:t>
      </w:r>
      <w:r>
        <w:rPr>
          <w:rFonts w:ascii="彩虹粗仿宋" w:eastAsia="彩虹粗仿宋" w:hAnsi="宋体" w:cs="Arial"/>
          <w:sz w:val="24"/>
        </w:rPr>
        <w:t>%</w:t>
      </w:r>
      <w:r>
        <w:rPr>
          <w:rFonts w:ascii="彩虹粗仿宋" w:eastAsia="彩虹粗仿宋" w:hAnsi="宋体" w:cs="Arial" w:hint="eastAsia"/>
          <w:sz w:val="24"/>
        </w:rPr>
        <w:t>÷当年天数</w:t>
      </w:r>
    </w:p>
    <w:p w14:paraId="5BE648B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H为每日应计提的基金托管费</w:t>
      </w:r>
    </w:p>
    <w:p w14:paraId="2C7F636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E为前一日的基金资产净值</w:t>
      </w:r>
    </w:p>
    <w:p w14:paraId="2E161E1F" w14:textId="1D004EB8"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w:t>
      </w:r>
      <w:r>
        <w:rPr>
          <w:rFonts w:ascii="彩虹粗仿宋" w:eastAsia="彩虹粗仿宋" w:hAnsi="宋体" w:cs="Arial"/>
          <w:bCs/>
          <w:sz w:val="24"/>
        </w:rPr>
        <w:t>证券交易费用</w:t>
      </w:r>
      <w:r>
        <w:rPr>
          <w:rFonts w:ascii="彩虹粗仿宋" w:eastAsia="彩虹粗仿宋" w:hAnsi="宋体" w:cs="Arial" w:hint="eastAsia"/>
          <w:sz w:val="24"/>
        </w:rPr>
        <w:t>、</w:t>
      </w:r>
      <w:r>
        <w:rPr>
          <w:rFonts w:ascii="彩虹粗仿宋" w:eastAsia="彩虹粗仿宋" w:hAnsi="宋体" w:cs="Arial"/>
          <w:bCs/>
          <w:sz w:val="24"/>
        </w:rPr>
        <w:t>基金的银行汇划费用</w:t>
      </w:r>
      <w:r>
        <w:rPr>
          <w:rFonts w:ascii="彩虹粗仿宋" w:eastAsia="彩虹粗仿宋" w:hAnsi="宋体" w:cs="Arial" w:hint="eastAsia"/>
          <w:sz w:val="24"/>
        </w:rPr>
        <w:t>、相关账户开户、维护费</w:t>
      </w:r>
      <w:bookmarkStart w:id="93" w:name="_Hlk107822711"/>
      <w:r>
        <w:rPr>
          <w:rFonts w:ascii="彩虹粗仿宋" w:eastAsia="彩虹粗仿宋" w:hAnsi="宋体" w:cs="Arial" w:hint="eastAsia"/>
          <w:sz w:val="24"/>
        </w:rPr>
        <w:t>、《基金合同》生效后与基金相关的信息披露费用</w:t>
      </w:r>
      <w:bookmarkEnd w:id="93"/>
      <w:r>
        <w:rPr>
          <w:rFonts w:ascii="彩虹粗仿宋" w:eastAsia="彩虹粗仿宋" w:hAnsi="宋体" w:cs="Arial" w:hint="eastAsia"/>
          <w:sz w:val="24"/>
        </w:rPr>
        <w:t>、基金份额持有人大会费用、《基金合同》生效后与基金有关的会计师费、律师费和诉讼费、仲裁费、与基金投资运作相关的增值税及其他税费及按照国家有关规定和《基金合同》约定，可以在基金财产中列支的其他费用。</w:t>
      </w:r>
    </w:p>
    <w:p w14:paraId="218E56B7"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（四）不列入基金费用的项目</w:t>
      </w:r>
    </w:p>
    <w:p w14:paraId="6CA180F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合同》生效前的相关费用，基金管理人和基金托管人因未履行或未完全履行义务导致的费用支出或基金财产的损失，处理与基金运作无关的事项发生的费用以及其他根据相关法律法规及中国证监会的有关规定不得列入基金费用的项目等不列入基金费用。</w:t>
      </w:r>
    </w:p>
    <w:p w14:paraId="0ADCB549"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（五）基金管理费和基金托管费的复核程序、支付方式和时间</w:t>
      </w:r>
    </w:p>
    <w:p w14:paraId="50235E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1.复核程序</w:t>
      </w:r>
    </w:p>
    <w:p w14:paraId="77E3A7F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基金托管人对基金管理人计提的基金管理费和基金托管费等，根据本托管协议和《基金合同》的有关规定进行复核。</w:t>
      </w:r>
    </w:p>
    <w:p w14:paraId="73AEE1E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2.支付方式和时间</w:t>
      </w:r>
    </w:p>
    <w:p w14:paraId="171E3A6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费、基金托管费每日计提，按月支付。由基金托管人根据与基金管理人核对一致的财务数据，自动在月初5个工作日内、按照指定的账户路径进行资金支付，基金管理人无需再出具资金划拨指令。若遇法定节假日、休息日等，支付日期顺延至最近可支付日。费用</w:t>
      </w:r>
      <w:r>
        <w:rPr>
          <w:rFonts w:ascii="彩虹粗仿宋" w:eastAsia="彩虹粗仿宋" w:hAnsi="宋体" w:cs="Arial" w:hint="eastAsia"/>
          <w:bCs/>
          <w:sz w:val="24"/>
        </w:rPr>
        <w:t>自基金财产</w:t>
      </w:r>
      <w:r>
        <w:rPr>
          <w:rFonts w:ascii="彩虹粗仿宋" w:eastAsia="彩虹粗仿宋" w:hAnsi="宋体" w:cs="Arial" w:hint="eastAsia"/>
          <w:sz w:val="24"/>
        </w:rPr>
        <w:t>自动扣划后，基金管理人应进行核对，如发现数据不符，及时联系基金托管人协商解决。</w:t>
      </w:r>
    </w:p>
    <w:p w14:paraId="7DB3849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费用</w:t>
      </w:r>
      <w:r>
        <w:rPr>
          <w:rFonts w:ascii="彩虹粗仿宋" w:eastAsia="彩虹粗仿宋" w:hAnsi="宋体" w:cs="Arial" w:hint="eastAsia"/>
          <w:bCs/>
          <w:sz w:val="24"/>
        </w:rPr>
        <w:t>自基金财产</w:t>
      </w:r>
      <w:r>
        <w:rPr>
          <w:rFonts w:ascii="彩虹粗仿宋" w:eastAsia="彩虹粗仿宋" w:hAnsi="宋体" w:cs="Arial" w:hint="eastAsia"/>
          <w:sz w:val="24"/>
        </w:rPr>
        <w:t>自动扣划后，基金管理人应进行核对，如发现数据不符，及时联系基金托管人协商解决。</w:t>
      </w:r>
    </w:p>
    <w:p w14:paraId="6AF37D4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在首期支付基金管理费前，基金管理人应向基金托管人出具正式函件指定基金管理费的收款账户。基金管理人如需要变更此账户，应提前5个工作日向基金托管人出具书面的收款账户变更通知。</w:t>
      </w:r>
    </w:p>
    <w:p w14:paraId="1A19417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（六）违规处理方式</w:t>
      </w:r>
    </w:p>
    <w:p w14:paraId="55F243A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托管人发现基金管理人违反《基金法》、《基金合同》、《运作办法》及其他有关规定从基金财产中列支费用时，基金托管人可要求基金管理人予以说明解释，如基金管理人无正当理由，基金托管人可拒绝支付。</w:t>
      </w:r>
    </w:p>
    <w:p w14:paraId="4DA737C2" w14:textId="7489FF5E" w:rsidR="00B06AEE" w:rsidRDefault="00B06AEE">
      <w:pPr>
        <w:adjustRightInd w:val="0"/>
        <w:snapToGrid w:val="0"/>
        <w:ind w:firstLineChars="200" w:firstLine="480"/>
        <w:rPr>
          <w:rFonts w:ascii="彩虹粗仿宋" w:eastAsia="彩虹粗仿宋" w:hAnsi="宋体" w:cs="Arial"/>
          <w:sz w:val="24"/>
        </w:rPr>
      </w:pPr>
    </w:p>
    <w:p w14:paraId="2312E5E5" w14:textId="77777777" w:rsidR="00B06AEE" w:rsidRDefault="00B06AEE">
      <w:pPr>
        <w:adjustRightInd w:val="0"/>
        <w:snapToGrid w:val="0"/>
        <w:rPr>
          <w:rFonts w:ascii="彩虹粗仿宋" w:eastAsia="彩虹粗仿宋" w:hAnsi="宋体" w:cs="Arial"/>
          <w:sz w:val="24"/>
        </w:rPr>
      </w:pPr>
    </w:p>
    <w:p w14:paraId="270A428F" w14:textId="77777777" w:rsidR="00B06AEE" w:rsidRDefault="00AD37FE">
      <w:pPr>
        <w:pStyle w:val="Heading2"/>
        <w:jc w:val="center"/>
        <w:rPr>
          <w:rFonts w:ascii="彩虹粗仿宋" w:eastAsia="彩虹粗仿宋"/>
          <w:sz w:val="30"/>
        </w:rPr>
      </w:pPr>
      <w:bookmarkStart w:id="94" w:name="_Toc124325896"/>
      <w:r>
        <w:rPr>
          <w:rFonts w:ascii="彩虹粗仿宋" w:eastAsia="彩虹粗仿宋" w:hint="eastAsia"/>
          <w:sz w:val="30"/>
        </w:rPr>
        <w:t>十二、基金份额持有人名册的保管</w:t>
      </w:r>
      <w:bookmarkEnd w:id="94"/>
    </w:p>
    <w:p w14:paraId="4FA81C8C" w14:textId="6D16A724"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份额持有人名册至少应包括基金份额持有人的名称和持有的基金份额。基金份额持有人名册由基金管理人委托的登记机构根据基金管理人的指令编制和保管，基金管理人和基金托管人应分别保管基金份额持有人名册，保存期限按照法律法规的规定执行。如不能妥善保管，则按相关法规承担责任。</w:t>
      </w:r>
    </w:p>
    <w:p w14:paraId="7F5C145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在基金托管人要求或编制中期报告和年度报告前，基金管理人应将基金托管人依法应获悉的有关资料送交基金托管人，不得无故拒绝或延误提供，并保证其真实性、准确性和完整性，若信息确不适用或在基金管理人提交时确无法取得，基金管理人应同时向基金托管人说明原因。</w:t>
      </w:r>
      <w:r>
        <w:rPr>
          <w:rFonts w:ascii="彩虹粗仿宋" w:eastAsia="彩虹粗仿宋" w:hAnsi="宋体" w:hint="eastAsia"/>
          <w:kern w:val="0"/>
          <w:sz w:val="24"/>
        </w:rPr>
        <w:t>基金托管人不得将所保管的基金份额持有人名册用于基金托管业务以外的其他用途，并应遵守保密义务。</w:t>
      </w:r>
    </w:p>
    <w:p w14:paraId="0A84C2D2" w14:textId="77777777" w:rsidR="00B06AEE" w:rsidRDefault="00B06AEE">
      <w:pPr>
        <w:adjustRightInd w:val="0"/>
        <w:snapToGrid w:val="0"/>
        <w:rPr>
          <w:rFonts w:ascii="彩虹粗仿宋" w:eastAsia="彩虹粗仿宋" w:hAnsi="宋体" w:cs="Arial"/>
          <w:sz w:val="24"/>
        </w:rPr>
      </w:pPr>
    </w:p>
    <w:p w14:paraId="22329FC6" w14:textId="77777777" w:rsidR="00B06AEE" w:rsidRDefault="00AD37FE">
      <w:pPr>
        <w:pStyle w:val="Heading2"/>
        <w:jc w:val="center"/>
        <w:rPr>
          <w:rFonts w:ascii="彩虹粗仿宋" w:eastAsia="彩虹粗仿宋"/>
          <w:sz w:val="30"/>
        </w:rPr>
      </w:pPr>
      <w:bookmarkStart w:id="95" w:name="_Toc124325897"/>
      <w:r>
        <w:rPr>
          <w:rFonts w:ascii="彩虹粗仿宋" w:eastAsia="彩虹粗仿宋" w:hint="eastAsia"/>
          <w:sz w:val="30"/>
        </w:rPr>
        <w:lastRenderedPageBreak/>
        <w:t>十三、基金有关文件档案的保存</w:t>
      </w:r>
      <w:bookmarkEnd w:id="95"/>
    </w:p>
    <w:p w14:paraId="0B282C39"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（一）档案保存</w:t>
      </w:r>
    </w:p>
    <w:p w14:paraId="1F355084" w14:textId="191702CC"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14:paraId="5B5E8835"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（二）合同档案的建立</w:t>
      </w:r>
    </w:p>
    <w:p w14:paraId="549C323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1.基金管理人签署重大合同文本后，应及时将合同文本正本送达基金托管人处。</w:t>
      </w:r>
    </w:p>
    <w:p w14:paraId="073E72F2"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2.基金管理人应及时将与本基金账务处理、资金划拨等有关的合同、协议传真基金托管人。</w:t>
      </w:r>
    </w:p>
    <w:p w14:paraId="01CC6C09"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（三）变更与协助</w:t>
      </w:r>
    </w:p>
    <w:p w14:paraId="1A5938A3" w14:textId="77777777" w:rsidR="00B06AEE" w:rsidRDefault="00AD37FE">
      <w:pPr>
        <w:adjustRightInd w:val="0"/>
        <w:snapToGrid w:val="0"/>
        <w:ind w:firstLineChars="200" w:firstLine="480"/>
        <w:rPr>
          <w:rFonts w:ascii="彩虹粗仿宋" w:eastAsia="彩虹粗仿宋"/>
          <w:b/>
          <w:bCs/>
          <w:sz w:val="30"/>
          <w:szCs w:val="30"/>
        </w:rPr>
      </w:pPr>
      <w:r>
        <w:rPr>
          <w:rFonts w:ascii="彩虹粗仿宋" w:eastAsia="彩虹粗仿宋" w:hAnsi="宋体" w:cs="Arial" w:hint="eastAsia"/>
          <w:sz w:val="24"/>
        </w:rPr>
        <w:t>若基金管理人/基金托管人发生变更，未变更的一方有义务协助变更后的接任人接收相应文件。</w:t>
      </w:r>
    </w:p>
    <w:p w14:paraId="5501D659" w14:textId="77777777" w:rsidR="00B06AEE" w:rsidRDefault="00B06AEE">
      <w:pPr>
        <w:adjustRightInd w:val="0"/>
        <w:snapToGrid w:val="0"/>
        <w:rPr>
          <w:rFonts w:ascii="彩虹粗仿宋" w:eastAsia="彩虹粗仿宋"/>
          <w:sz w:val="30"/>
          <w:szCs w:val="30"/>
        </w:rPr>
      </w:pPr>
    </w:p>
    <w:p w14:paraId="4288FC1C" w14:textId="77777777" w:rsidR="00B06AEE" w:rsidRDefault="00AD37FE">
      <w:pPr>
        <w:pStyle w:val="Heading2"/>
        <w:jc w:val="center"/>
        <w:rPr>
          <w:rFonts w:ascii="彩虹粗仿宋" w:eastAsia="彩虹粗仿宋"/>
          <w:sz w:val="30"/>
        </w:rPr>
      </w:pPr>
      <w:bookmarkStart w:id="96" w:name="_Toc124325898"/>
      <w:r>
        <w:rPr>
          <w:rFonts w:ascii="彩虹粗仿宋" w:eastAsia="彩虹粗仿宋" w:hint="eastAsia"/>
          <w:sz w:val="30"/>
        </w:rPr>
        <w:t>十四、基金管理人和基金托管人的更换</w:t>
      </w:r>
      <w:bookmarkEnd w:id="96"/>
    </w:p>
    <w:p w14:paraId="1C3C879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（一）基金管理人职责终止的情形</w:t>
      </w:r>
    </w:p>
    <w:p w14:paraId="592AF91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1.基金管理人职责终止的情形</w:t>
      </w:r>
    </w:p>
    <w:p w14:paraId="60A2882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有下列情形之一的，基金管理人职责终止：</w:t>
      </w:r>
    </w:p>
    <w:p w14:paraId="564EEF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(1)被依法取消基金管理资格；</w:t>
      </w:r>
    </w:p>
    <w:p w14:paraId="2D3D605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(2)依法解散、被依法撤销或被依法宣告破产；</w:t>
      </w:r>
    </w:p>
    <w:p w14:paraId="26A5A74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(3)被基金份额持有人大会解任；</w:t>
      </w:r>
    </w:p>
    <w:p w14:paraId="3C0EEEB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(4)法律法规及中国证监会规定的和《基金合同》约定的其他情形。</w:t>
      </w:r>
    </w:p>
    <w:p w14:paraId="23E8A47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2.基金管理人的更换程序</w:t>
      </w:r>
    </w:p>
    <w:p w14:paraId="2EFB509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更换基金管理人必须依照如下程序进行：</w:t>
      </w:r>
    </w:p>
    <w:p w14:paraId="7A4F6A06" w14:textId="77777777" w:rsidR="00B06AEE" w:rsidRDefault="00AD37FE">
      <w:pPr>
        <w:adjustRightInd w:val="0"/>
        <w:snapToGrid w:val="0"/>
        <w:ind w:firstLineChars="200" w:firstLine="480"/>
        <w:rPr>
          <w:rFonts w:ascii="彩虹粗仿宋" w:eastAsia="彩虹粗仿宋" w:hAnsi="宋体" w:cs="Arial"/>
          <w:sz w:val="24"/>
        </w:rPr>
      </w:pPr>
      <w:bookmarkStart w:id="97" w:name="_Hlk106869453"/>
      <w:r>
        <w:rPr>
          <w:rFonts w:ascii="彩虹粗仿宋" w:eastAsia="彩虹粗仿宋" w:hAnsi="宋体" w:cs="Arial" w:hint="eastAsia"/>
          <w:sz w:val="24"/>
        </w:rPr>
        <w:t>(1)提名：新任基金管理人由基金托管人</w:t>
      </w:r>
      <w:r>
        <w:rPr>
          <w:rFonts w:ascii="彩虹粗仿宋" w:eastAsia="彩虹粗仿宋" w:hint="eastAsia"/>
          <w:sz w:val="24"/>
        </w:rPr>
        <w:t>或由单独或合计持有10%以上</w:t>
      </w:r>
      <w:proofErr w:type="gramStart"/>
      <w:r>
        <w:rPr>
          <w:rFonts w:ascii="彩虹粗仿宋" w:eastAsia="彩虹粗仿宋" w:hint="eastAsia"/>
          <w:sz w:val="24"/>
        </w:rPr>
        <w:t>(含10%)</w:t>
      </w:r>
      <w:proofErr w:type="gramEnd"/>
      <w:r>
        <w:rPr>
          <w:rFonts w:ascii="彩虹粗仿宋" w:eastAsia="彩虹粗仿宋" w:hint="eastAsia"/>
          <w:sz w:val="24"/>
        </w:rPr>
        <w:t>基金份额的基金份额持有人</w:t>
      </w:r>
      <w:r>
        <w:rPr>
          <w:rFonts w:ascii="彩虹粗仿宋" w:eastAsia="彩虹粗仿宋" w:hAnsi="宋体" w:cs="Arial" w:hint="eastAsia"/>
          <w:sz w:val="24"/>
        </w:rPr>
        <w:t>提名；</w:t>
      </w:r>
    </w:p>
    <w:p w14:paraId="53A358B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(2)决议：基金份额持有人大会在基金管理人职责终止后6个月内对被提名的基金管理人形成决议，该决议需经参加大会的基金份额持有人所持表决权的三分之二以上</w:t>
      </w:r>
      <w:proofErr w:type="gramStart"/>
      <w:r>
        <w:rPr>
          <w:rFonts w:ascii="彩虹粗仿宋" w:eastAsia="彩虹粗仿宋" w:hAnsi="宋体" w:cs="Arial" w:hint="eastAsia"/>
          <w:sz w:val="24"/>
        </w:rPr>
        <w:t>(含三分之二)</w:t>
      </w:r>
      <w:proofErr w:type="gramEnd"/>
      <w:r>
        <w:rPr>
          <w:rFonts w:ascii="彩虹粗仿宋" w:eastAsia="彩虹粗仿宋" w:hAnsi="宋体" w:cs="Arial" w:hint="eastAsia"/>
          <w:sz w:val="24"/>
        </w:rPr>
        <w:t>表决通过，决议自表决通过之日起生效；</w:t>
      </w:r>
    </w:p>
    <w:p w14:paraId="3C8F847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(3)临时基金管理人：新任基金管理人产生之前，由中国证监会指定临时基金管理人；</w:t>
      </w:r>
    </w:p>
    <w:p w14:paraId="68D9286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(4)备案：基金份额持有人大会更换基金管理人的决议须报中国证监会备案；</w:t>
      </w:r>
    </w:p>
    <w:p w14:paraId="6DF02EE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(5)公告：基金管理人更换后，由基金托管人在更换基金管理人的基金份额持有人大会决议生效后</w:t>
      </w:r>
      <w:r>
        <w:rPr>
          <w:rFonts w:ascii="彩虹粗仿宋" w:eastAsia="彩虹粗仿宋" w:hAnsi="宋体" w:cs="Arial" w:hint="eastAsia"/>
          <w:bCs/>
          <w:sz w:val="24"/>
        </w:rPr>
        <w:t>依照《信息披露办法》的有关规定</w:t>
      </w:r>
      <w:r>
        <w:rPr>
          <w:rFonts w:ascii="彩虹粗仿宋" w:eastAsia="彩虹粗仿宋" w:hAnsi="宋体" w:cs="Arial" w:hint="eastAsia"/>
          <w:sz w:val="24"/>
        </w:rPr>
        <w:t>在规定媒介公告；</w:t>
      </w:r>
    </w:p>
    <w:p w14:paraId="3244C0F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交接：基金管理人职责终止的，基金管理人应妥善保管基金管理业务资料，及时向临时基金管理人或新任基金管理人办理基金管理业务的移交手续，临时基金管理人或新任基金管理人应及时接收。临时基金管理人或新任基金管理人应与基金托管人核对基金资产总值</w:t>
      </w:r>
      <w:r>
        <w:rPr>
          <w:rFonts w:ascii="彩虹粗仿宋" w:eastAsia="彩虹粗仿宋" w:hAnsi="宋体" w:cs="Arial" w:hint="eastAsia"/>
          <w:bCs/>
          <w:sz w:val="24"/>
        </w:rPr>
        <w:t>和基金资产净值</w:t>
      </w:r>
      <w:r>
        <w:rPr>
          <w:rFonts w:ascii="彩虹粗仿宋" w:eastAsia="彩虹粗仿宋" w:hAnsi="宋体" w:cs="Arial" w:hint="eastAsia"/>
          <w:sz w:val="24"/>
        </w:rPr>
        <w:t>；</w:t>
      </w:r>
    </w:p>
    <w:p w14:paraId="12AC9F0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(7)审计：基金管理人职责终止的，应当按照法律法规规定聘请会计师事务所对基金财产进行审计，并将审计结果予以公告，同时报中国证监会备案</w:t>
      </w:r>
      <w:r>
        <w:rPr>
          <w:rFonts w:ascii="彩虹粗仿宋" w:eastAsia="彩虹粗仿宋" w:hAnsi="宋体" w:cs="Arial"/>
          <w:bCs/>
          <w:sz w:val="24"/>
        </w:rPr>
        <w:t>，审计费用从基金财产中列支</w:t>
      </w:r>
      <w:r>
        <w:rPr>
          <w:rFonts w:ascii="彩虹粗仿宋" w:eastAsia="彩虹粗仿宋" w:hAnsi="宋体" w:cs="Arial" w:hint="eastAsia"/>
          <w:sz w:val="24"/>
        </w:rPr>
        <w:t>；</w:t>
      </w:r>
    </w:p>
    <w:p w14:paraId="035D7F5A" w14:textId="77777777" w:rsidR="00B06AEE" w:rsidRDefault="00AD37FE">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(8)基金名称变更：基金管理人更换后，如果原任基金管理人或新任基金管理人要求，应按其要求替换或删除基金名称中与原任基金管理人有关的名称字样。</w:t>
      </w:r>
    </w:p>
    <w:p w14:paraId="34EB4ED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（二）基金托管人职责终止的情形</w:t>
      </w:r>
    </w:p>
    <w:p w14:paraId="423BD828"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1.基金托管人职责终止的情形</w:t>
      </w:r>
    </w:p>
    <w:p w14:paraId="0CE058C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有下列情形之一的，基金托管人职责终止：</w:t>
      </w:r>
    </w:p>
    <w:p w14:paraId="15BA0FB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(1)被依法取消基金托管资格；</w:t>
      </w:r>
    </w:p>
    <w:p w14:paraId="1DF91E38"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(2)依法解散、被依法撤销或被依法宣告破产；</w:t>
      </w:r>
    </w:p>
    <w:p w14:paraId="79091C2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(3)被基金份额持有人大会解任；</w:t>
      </w:r>
    </w:p>
    <w:p w14:paraId="6D8A5E9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(4)法律法规及中国证监会规定的和《基金合同》约定的其他情形。</w:t>
      </w:r>
    </w:p>
    <w:p w14:paraId="705B668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2.基金托管人的更换程序</w:t>
      </w:r>
    </w:p>
    <w:p w14:paraId="7D7A02C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(1)提名：新任基金托管人由基金管理人</w:t>
      </w:r>
      <w:r>
        <w:rPr>
          <w:rFonts w:ascii="彩虹粗仿宋" w:eastAsia="彩虹粗仿宋" w:hint="eastAsia"/>
          <w:sz w:val="24"/>
        </w:rPr>
        <w:t>或由单独或合计持有10%以上</w:t>
      </w:r>
      <w:proofErr w:type="gramStart"/>
      <w:r>
        <w:rPr>
          <w:rFonts w:ascii="彩虹粗仿宋" w:eastAsia="彩虹粗仿宋" w:hint="eastAsia"/>
          <w:sz w:val="24"/>
        </w:rPr>
        <w:t>(含10%)</w:t>
      </w:r>
      <w:proofErr w:type="gramEnd"/>
      <w:r>
        <w:rPr>
          <w:rFonts w:ascii="彩虹粗仿宋" w:eastAsia="彩虹粗仿宋" w:hint="eastAsia"/>
          <w:sz w:val="24"/>
        </w:rPr>
        <w:t>基金份额的基金份额持有人</w:t>
      </w:r>
      <w:r>
        <w:rPr>
          <w:rFonts w:ascii="彩虹粗仿宋" w:eastAsia="彩虹粗仿宋" w:hAnsi="宋体" w:cs="Arial" w:hint="eastAsia"/>
          <w:sz w:val="24"/>
        </w:rPr>
        <w:t>提名；</w:t>
      </w:r>
    </w:p>
    <w:p w14:paraId="4CC9076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(2)决议：基金份额持有人大会在基金托管人职责终止后6个月内对被提名的基金托管人形成决议，该决议需经参加大会的基金份额持有人所持表决权的三分之二以上</w:t>
      </w:r>
      <w:proofErr w:type="gramStart"/>
      <w:r>
        <w:rPr>
          <w:rFonts w:ascii="彩虹粗仿宋" w:eastAsia="彩虹粗仿宋" w:hAnsi="宋体" w:cs="Arial" w:hint="eastAsia"/>
          <w:sz w:val="24"/>
        </w:rPr>
        <w:t>(含三分之二)</w:t>
      </w:r>
      <w:proofErr w:type="gramEnd"/>
      <w:r>
        <w:rPr>
          <w:rFonts w:ascii="彩虹粗仿宋" w:eastAsia="彩虹粗仿宋" w:hAnsi="宋体" w:cs="Arial" w:hint="eastAsia"/>
          <w:sz w:val="24"/>
        </w:rPr>
        <w:t>表决通过，决议自表决通过之日起生效；</w:t>
      </w:r>
    </w:p>
    <w:p w14:paraId="572E9B9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(3)临时基金托管人：新任基金托管人产生之前，由中国证监会指定临时基金托管人；</w:t>
      </w:r>
    </w:p>
    <w:p w14:paraId="3212E1A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(4)备案：基金份额持有人大会更换基金托管人的决议须报中国证监会备案；</w:t>
      </w:r>
    </w:p>
    <w:p w14:paraId="196733D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(5)公告：基金托管人更换后，由基金管理人在更换基金托管人的基金份额持有人大会决议生效后</w:t>
      </w:r>
      <w:r>
        <w:rPr>
          <w:rFonts w:ascii="彩虹粗仿宋" w:eastAsia="彩虹粗仿宋" w:hAnsi="宋体" w:cs="Arial" w:hint="eastAsia"/>
          <w:bCs/>
          <w:sz w:val="24"/>
        </w:rPr>
        <w:t>依照《信息披露办法》的有关规定</w:t>
      </w:r>
      <w:r>
        <w:rPr>
          <w:rFonts w:ascii="彩虹粗仿宋" w:eastAsia="彩虹粗仿宋" w:hAnsi="宋体" w:cs="Arial" w:hint="eastAsia"/>
          <w:sz w:val="24"/>
        </w:rPr>
        <w:t>在规定媒介公告；</w:t>
      </w:r>
    </w:p>
    <w:p w14:paraId="273D4C4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交接：基金托管人职责终止的，应当妥善保管基金财产和基金托管业务资料，及时办理基金财产和基金托管业务的移交手续，新任基金托管人或者临时基金托管人应当及时接收。新任基金托管人或临时基金托管人与基金管理人核对基金资产总值</w:t>
      </w:r>
      <w:r>
        <w:rPr>
          <w:rFonts w:ascii="彩虹粗仿宋" w:eastAsia="彩虹粗仿宋" w:hAnsi="宋体" w:cs="Arial" w:hint="eastAsia"/>
          <w:bCs/>
          <w:sz w:val="24"/>
        </w:rPr>
        <w:t>和基金资产净值</w:t>
      </w:r>
      <w:r>
        <w:rPr>
          <w:rFonts w:ascii="彩虹粗仿宋" w:eastAsia="彩虹粗仿宋" w:hAnsi="宋体" w:cs="Arial" w:hint="eastAsia"/>
          <w:sz w:val="24"/>
        </w:rPr>
        <w:t>；</w:t>
      </w:r>
    </w:p>
    <w:p w14:paraId="75A2F81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(7)审计：基金托管人职责终止的，应当按照法律法规规定聘请会计师事务所对基金财产进行审计，并将审计结果予以公告，同时报中国证监会备案</w:t>
      </w:r>
      <w:r>
        <w:rPr>
          <w:rFonts w:ascii="彩虹粗仿宋" w:eastAsia="彩虹粗仿宋" w:hAnsi="宋体" w:cs="Arial"/>
          <w:bCs/>
          <w:sz w:val="24"/>
        </w:rPr>
        <w:t>，审计费用从基金财产中列支</w:t>
      </w:r>
      <w:r>
        <w:rPr>
          <w:rFonts w:ascii="彩虹粗仿宋" w:eastAsia="彩虹粗仿宋" w:hAnsi="宋体" w:cs="Arial" w:hint="eastAsia"/>
          <w:sz w:val="24"/>
        </w:rPr>
        <w:t>。</w:t>
      </w:r>
    </w:p>
    <w:p w14:paraId="0815213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（三）基金管理人与基金托管人同时更换的条件和程序</w:t>
      </w:r>
    </w:p>
    <w:p w14:paraId="2DA8FDB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1.提名：如果基金管理人和基金托管人同时更换，由单独或合计持有基金总份额10%以上</w:t>
      </w:r>
      <w:proofErr w:type="gramStart"/>
      <w:r>
        <w:rPr>
          <w:rFonts w:ascii="彩虹粗仿宋" w:eastAsia="彩虹粗仿宋" w:hAnsi="宋体" w:cs="Arial" w:hint="eastAsia"/>
          <w:sz w:val="24"/>
        </w:rPr>
        <w:t>(含10%)</w:t>
      </w:r>
      <w:proofErr w:type="gramEnd"/>
      <w:r>
        <w:rPr>
          <w:rFonts w:ascii="彩虹粗仿宋" w:eastAsia="彩虹粗仿宋" w:hAnsi="宋体" w:cs="Arial" w:hint="eastAsia"/>
          <w:sz w:val="24"/>
        </w:rPr>
        <w:t>的基金份额持有人提名新的基金管理人和基金托管人；</w:t>
      </w:r>
    </w:p>
    <w:p w14:paraId="47197C04"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2.基金管理人和基金托管人的更换分别按上述程序进行；</w:t>
      </w:r>
    </w:p>
    <w:p w14:paraId="37B783F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3.公告：新任基金管理人和新任基金托管人应在更换基金管理人和基金托管人的基金份额持有人大会决议生效后依照《信息披露办法》的有关规定在规定媒介上联合公告。</w:t>
      </w:r>
    </w:p>
    <w:p w14:paraId="164D69E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新任基金管理人或临时基金管理人接收基金管理业务或新任基金托管人或临时基金托管人接收基金财产和基金托管业务前，原任基金管理人或原任基金托管人应继续履行相关职责，并保证不做出对基金份额持有人的利益造成损害的行为。</w:t>
      </w:r>
    </w:p>
    <w:bookmarkEnd w:id="97"/>
    <w:p w14:paraId="32E482F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(五</w:t>
      </w:r>
      <w:r>
        <w:rPr>
          <w:rFonts w:ascii="彩虹粗仿宋" w:eastAsia="彩虹粗仿宋" w:hAnsi="宋体" w:cs="Arial"/>
          <w:sz w:val="24"/>
        </w:rPr>
        <w:t>)</w:t>
      </w:r>
      <w:r>
        <w:rPr>
          <w:rFonts w:ascii="彩虹粗仿宋" w:eastAsia="彩虹粗仿宋" w:hAnsi="宋体" w:cs="Arial" w:hint="eastAsia"/>
          <w:sz w:val="24"/>
        </w:rPr>
        <w:t>本部分关于基金管理人、基金托管人更换条件和程序的约定，凡是直接引用法律法规或监管规则的部分，如将来法律法规或监管规则修改导致相关内容被取消或变更的，基金管理人与基金托管人协商一致并提前公告后，可直接对相应内容进行修改和调整，无需召开基金份额持有人大会审议。</w:t>
      </w:r>
    </w:p>
    <w:p w14:paraId="0381BCA4" w14:textId="77777777" w:rsidR="00B06AEE" w:rsidRDefault="00B06AEE">
      <w:pPr>
        <w:adjustRightInd w:val="0"/>
        <w:snapToGrid w:val="0"/>
        <w:ind w:firstLineChars="200" w:firstLine="480"/>
        <w:rPr>
          <w:rFonts w:ascii="彩虹粗仿宋" w:eastAsia="彩虹粗仿宋" w:hAnsi="宋体" w:cs="Arial"/>
          <w:sz w:val="24"/>
        </w:rPr>
      </w:pPr>
    </w:p>
    <w:p w14:paraId="232E90CF" w14:textId="77777777" w:rsidR="00B06AEE" w:rsidRDefault="00B06AEE">
      <w:pPr>
        <w:adjustRightInd w:val="0"/>
        <w:snapToGrid w:val="0"/>
        <w:rPr>
          <w:rFonts w:ascii="彩虹粗仿宋" w:eastAsia="彩虹粗仿宋" w:hAnsi="宋体" w:cs="Arial"/>
          <w:sz w:val="24"/>
        </w:rPr>
      </w:pPr>
    </w:p>
    <w:p w14:paraId="4C7615A3" w14:textId="77777777" w:rsidR="00B06AEE" w:rsidRDefault="00AD37FE">
      <w:pPr>
        <w:pStyle w:val="Heading2"/>
        <w:jc w:val="center"/>
        <w:rPr>
          <w:rFonts w:ascii="彩虹粗仿宋" w:eastAsia="彩虹粗仿宋"/>
          <w:sz w:val="30"/>
        </w:rPr>
      </w:pPr>
      <w:bookmarkStart w:id="98" w:name="_Toc124325899"/>
      <w:r>
        <w:rPr>
          <w:rFonts w:ascii="彩虹粗仿宋" w:eastAsia="彩虹粗仿宋" w:hint="eastAsia"/>
          <w:sz w:val="30"/>
        </w:rPr>
        <w:t>十五、禁止行为</w:t>
      </w:r>
      <w:bookmarkEnd w:id="98"/>
    </w:p>
    <w:p w14:paraId="6928F025"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本协议当事人禁止从事的行为，包括但不限于：</w:t>
      </w:r>
    </w:p>
    <w:p w14:paraId="6291A4CA"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int="eastAsia"/>
          <w:sz w:val="24"/>
        </w:rPr>
        <w:t>（一）基金管理人、</w:t>
      </w:r>
      <w:r>
        <w:rPr>
          <w:rFonts w:ascii="彩虹粗仿宋" w:eastAsia="彩虹粗仿宋" w:hAnsi="宋体" w:cs="Arial" w:hint="eastAsia"/>
          <w:sz w:val="24"/>
        </w:rPr>
        <w:t>基金托管人将其固有财产或者他人财产混同于基金财产从事证券投资。</w:t>
      </w:r>
    </w:p>
    <w:p w14:paraId="086BC210"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（二）基金管理人不公平地对待其管理的不同基金财产，基金托管人不公平地对待其托管的不同基金财产。</w:t>
      </w:r>
    </w:p>
    <w:p w14:paraId="290089C6"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（三）基金管理人、基金托管人利用基金财产为基金份额持有人以外的第三人牟取利益。</w:t>
      </w:r>
    </w:p>
    <w:p w14:paraId="14B23FFB"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（四）基金管理人、基金托管人向基金份额持有人违规承诺收益或者承担损失。</w:t>
      </w:r>
    </w:p>
    <w:p w14:paraId="154D4BDD"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（五）基金管理人、基金托管人对他人泄</w:t>
      </w:r>
      <w:r>
        <w:rPr>
          <w:rFonts w:ascii="彩虹粗仿宋" w:eastAsia="彩虹粗仿宋" w:hAnsi="宋体" w:cs="Arial"/>
          <w:sz w:val="24"/>
        </w:rPr>
        <w:t>露</w:t>
      </w:r>
      <w:r>
        <w:rPr>
          <w:rFonts w:ascii="彩虹粗仿宋" w:eastAsia="彩虹粗仿宋" w:hAnsi="宋体" w:cs="Arial" w:hint="eastAsia"/>
          <w:sz w:val="24"/>
        </w:rPr>
        <w:t>基金运作和管理过程中任何尚未按法律法规规定的方式公开披露的信息。</w:t>
      </w:r>
    </w:p>
    <w:p w14:paraId="5164224B" w14:textId="77777777" w:rsidR="00B06AEE" w:rsidRDefault="00AD37FE">
      <w:pPr>
        <w:adjustRightInd w:val="0"/>
        <w:snapToGrid w:val="0"/>
        <w:ind w:firstLineChars="200" w:firstLine="480"/>
        <w:outlineLvl w:val="0"/>
        <w:rPr>
          <w:rFonts w:ascii="彩虹粗仿宋" w:eastAsia="彩虹粗仿宋" w:hAnsi="宋体" w:cs="Arial"/>
        </w:rPr>
      </w:pPr>
      <w:r>
        <w:rPr>
          <w:rFonts w:ascii="彩虹粗仿宋" w:eastAsia="彩虹粗仿宋" w:hAnsi="宋体" w:cs="Arial" w:hint="eastAsia"/>
          <w:sz w:val="24"/>
        </w:rPr>
        <w:lastRenderedPageBreak/>
        <w:t>（六）基金管理人在没有充足资金的情况下向基金托管人发出投资指令和分红资金的划拨指令，或违规向基金托管人发出指令。</w:t>
      </w:r>
    </w:p>
    <w:p w14:paraId="09847C41"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（七）基金管理人、基金托管人在行政上、财务上不独立，其高级管理人员和其他从业人员相互兼职。</w:t>
      </w:r>
    </w:p>
    <w:p w14:paraId="3A9F7765"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（八）基金托管人私自动用或处分基金财产，根据基金管理人的合法指令、《基金合同》或托管协议的规定进行处分的除外。</w:t>
      </w:r>
    </w:p>
    <w:p w14:paraId="12B436DC"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（九）基金财产用于下列投资或者活动：</w:t>
      </w:r>
      <w:bookmarkStart w:id="99" w:name="_Hlk106869554"/>
      <w:r>
        <w:rPr>
          <w:rFonts w:ascii="彩虹粗仿宋" w:eastAsia="彩虹粗仿宋" w:hAnsi="宋体" w:cs="Arial" w:hint="eastAsia"/>
          <w:sz w:val="24"/>
        </w:rPr>
        <w:t>1.承销证券；2.违反规定向他人贷款或者提供担保；3.从事承担无限责任的投资；4.买卖其他基金份额，但是</w:t>
      </w:r>
      <w:r>
        <w:rPr>
          <w:rFonts w:ascii="彩虹粗仿宋" w:eastAsia="彩虹粗仿宋" w:hAnsi="宋体" w:cs="Arial" w:hint="eastAsia"/>
          <w:bCs/>
          <w:sz w:val="24"/>
        </w:rPr>
        <w:t>法律法规或</w:t>
      </w:r>
      <w:r>
        <w:rPr>
          <w:rFonts w:ascii="彩虹粗仿宋" w:eastAsia="彩虹粗仿宋" w:hAnsi="宋体" w:cs="Arial" w:hint="eastAsia"/>
          <w:sz w:val="24"/>
        </w:rPr>
        <w:t>中国证监会另有规定的除外；5.向其基金管理人、基金托管人出资；6.从事内幕交易、操纵证券交易价格及其他不正当的证券交易活动；7.法律、行政法规和中国证监会规定禁止的其他活动。法律法规或监管部门取消</w:t>
      </w:r>
      <w:r>
        <w:rPr>
          <w:rFonts w:ascii="彩虹粗仿宋" w:eastAsia="彩虹粗仿宋" w:hAnsi="宋体" w:cs="Arial" w:hint="eastAsia"/>
          <w:bCs/>
          <w:sz w:val="24"/>
        </w:rPr>
        <w:t>或变更</w:t>
      </w:r>
      <w:r>
        <w:rPr>
          <w:rFonts w:ascii="彩虹粗仿宋" w:eastAsia="彩虹粗仿宋" w:hAnsi="宋体" w:cs="Arial" w:hint="eastAsia"/>
          <w:sz w:val="24"/>
        </w:rPr>
        <w:t>上述限制，如适用于本基金，基金管理人在履行适当程序后，则本基金投资不再受相关限制</w:t>
      </w:r>
      <w:r>
        <w:rPr>
          <w:rFonts w:ascii="彩虹粗仿宋" w:eastAsia="彩虹粗仿宋" w:hAnsi="宋体" w:cs="Arial"/>
          <w:bCs/>
          <w:sz w:val="24"/>
        </w:rPr>
        <w:t>或以变更以后的规定为准</w:t>
      </w:r>
      <w:r>
        <w:rPr>
          <w:rFonts w:ascii="彩虹粗仿宋" w:eastAsia="彩虹粗仿宋" w:hAnsi="宋体" w:cs="Arial" w:hint="eastAsia"/>
          <w:sz w:val="24"/>
        </w:rPr>
        <w:t>。</w:t>
      </w:r>
      <w:bookmarkEnd w:id="99"/>
    </w:p>
    <w:p w14:paraId="26A94F3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（十）法律法规和《基金合同》禁止的其他行为，以及</w:t>
      </w:r>
      <w:r>
        <w:rPr>
          <w:rFonts w:ascii="彩虹粗仿宋" w:eastAsia="彩虹粗仿宋" w:hint="eastAsia"/>
          <w:sz w:val="24"/>
        </w:rPr>
        <w:t>依照法律、行政法规有关规定，由中国证监会规定禁止基金管理人、基金托管人从事的其他行为。</w:t>
      </w:r>
    </w:p>
    <w:p w14:paraId="4851D5A4" w14:textId="77777777" w:rsidR="00B06AEE" w:rsidRDefault="00B06AEE">
      <w:pPr>
        <w:adjustRightInd w:val="0"/>
        <w:snapToGrid w:val="0"/>
        <w:rPr>
          <w:rFonts w:ascii="彩虹粗仿宋" w:eastAsia="彩虹粗仿宋"/>
          <w:sz w:val="30"/>
          <w:szCs w:val="30"/>
        </w:rPr>
      </w:pPr>
    </w:p>
    <w:p w14:paraId="067DBF6F" w14:textId="77777777" w:rsidR="00B06AEE" w:rsidRDefault="00AD37FE">
      <w:pPr>
        <w:pStyle w:val="Heading2"/>
        <w:jc w:val="center"/>
        <w:rPr>
          <w:rFonts w:ascii="彩虹粗仿宋" w:eastAsia="彩虹粗仿宋"/>
          <w:sz w:val="30"/>
        </w:rPr>
      </w:pPr>
      <w:bookmarkStart w:id="100" w:name="_Toc124325900"/>
      <w:r>
        <w:rPr>
          <w:rFonts w:ascii="彩虹粗仿宋" w:eastAsia="彩虹粗仿宋" w:hint="eastAsia"/>
          <w:sz w:val="30"/>
        </w:rPr>
        <w:t>十六、托管协议的变更、终止与基金财产的清算</w:t>
      </w:r>
      <w:bookmarkEnd w:id="100"/>
    </w:p>
    <w:p w14:paraId="2125CA6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（一）托管协议的变更程序</w:t>
      </w:r>
    </w:p>
    <w:p w14:paraId="41D2E3C1" w14:textId="77777777" w:rsidR="00B06AEE" w:rsidRDefault="00AD37FE">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本协议双方当事人经协商一致，可以对协议进行修改。修改后的新协议，其内容不得与《基金合同》的规定有任何冲突。</w:t>
      </w:r>
    </w:p>
    <w:p w14:paraId="5278332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（二）托管协议终止的情形</w:t>
      </w:r>
    </w:p>
    <w:p w14:paraId="684E9F41"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1.《基金合同》终止；</w:t>
      </w:r>
    </w:p>
    <w:p w14:paraId="2B405CC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2.基金托管人解散、依法被撤销、破产或由其他基金托管人接管基金资产；</w:t>
      </w:r>
    </w:p>
    <w:p w14:paraId="5F3401C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3.基金管理人解散、依法被撤销、破产或由其他基金管理人接管基金管理权；</w:t>
      </w:r>
    </w:p>
    <w:p w14:paraId="6936088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4.发生法律法规或《基金合同》规定的终止事项。</w:t>
      </w:r>
    </w:p>
    <w:p w14:paraId="58F3562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（三）基金财产的清算</w:t>
      </w:r>
    </w:p>
    <w:p w14:paraId="0A3CE7D8" w14:textId="77777777" w:rsidR="00B06AEE" w:rsidRDefault="00AD37FE">
      <w:pPr>
        <w:adjustRightInd w:val="0"/>
        <w:snapToGrid w:val="0"/>
        <w:ind w:firstLineChars="200" w:firstLine="480"/>
        <w:rPr>
          <w:rFonts w:ascii="彩虹粗仿宋" w:eastAsia="彩虹粗仿宋" w:hAnsi="宋体" w:cs="Arial"/>
          <w:sz w:val="24"/>
        </w:rPr>
      </w:pPr>
      <w:bookmarkStart w:id="101" w:name="_Hlk106869602"/>
      <w:r>
        <w:rPr>
          <w:rFonts w:ascii="彩虹粗仿宋" w:eastAsia="彩虹粗仿宋" w:hAnsi="宋体" w:cs="Arial" w:hint="eastAsia"/>
          <w:sz w:val="24"/>
        </w:rPr>
        <w:t>1.基金财产清算小组：自出现《基金合同》终止事由之日起30个工作日内成立清算小组，基金管理人组织基金财产清算小组并在中国证监会的监督下进行基金清算。</w:t>
      </w:r>
    </w:p>
    <w:p w14:paraId="5D96FC7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2.基金财产清算小组组成：基金财产清算小组成员由基金管理人、基金托管人、</w:t>
      </w:r>
      <w:r>
        <w:rPr>
          <w:rFonts w:ascii="彩虹粗仿宋" w:eastAsia="彩虹粗仿宋" w:hAnsi="宋体" w:cs="Arial" w:hint="eastAsia"/>
          <w:bCs/>
          <w:sz w:val="24"/>
        </w:rPr>
        <w:t>符合《中华人民共和国证券法》规定</w:t>
      </w:r>
      <w:r>
        <w:rPr>
          <w:rFonts w:ascii="彩虹粗仿宋" w:eastAsia="彩虹粗仿宋" w:hAnsi="宋体" w:cs="Arial" w:hint="eastAsia"/>
          <w:sz w:val="24"/>
        </w:rPr>
        <w:t>的注册会计师、律师以及中国证监会指定的</w:t>
      </w:r>
      <w:r>
        <w:rPr>
          <w:rFonts w:ascii="彩虹粗仿宋" w:eastAsia="彩虹粗仿宋" w:hAnsi="宋体" w:cs="Arial" w:hint="eastAsia"/>
          <w:sz w:val="24"/>
        </w:rPr>
        <w:lastRenderedPageBreak/>
        <w:t>人员组成。基金财产清算小组可以聘用必要的工作人员。</w:t>
      </w:r>
    </w:p>
    <w:p w14:paraId="0461625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3.基金财产清算小组职责：基金财产清算小组负责基金财产的保管、清理、估价、变现和分配。基金财产清算小组可以依法进行必要的民事活动。</w:t>
      </w:r>
    </w:p>
    <w:p w14:paraId="2707558A"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4.基金财产清算程序：</w:t>
      </w:r>
    </w:p>
    <w:p w14:paraId="5F695B1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(1)《基金合同》终止情形出现时，由基金财产清算小组统一接管基金；</w:t>
      </w:r>
    </w:p>
    <w:p w14:paraId="67D9220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(2)对基金财产和债权债务进行清理和确认；</w:t>
      </w:r>
    </w:p>
    <w:p w14:paraId="0FFC479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(3)对基金财产进行估值和变现；</w:t>
      </w:r>
    </w:p>
    <w:p w14:paraId="5C53DAF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(4)制作清算报告；</w:t>
      </w:r>
    </w:p>
    <w:p w14:paraId="18038DB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(5)聘请会计师事务所对清算报告进行外部审计，聘请律师事务所对清算报告出具法律意见书；</w:t>
      </w:r>
    </w:p>
    <w:p w14:paraId="5B60A5D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(6)将清算报告报中国证监会备案并公告；</w:t>
      </w:r>
    </w:p>
    <w:p w14:paraId="25C6BBFD"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(7)对基金剩余财产进行分配。</w:t>
      </w:r>
    </w:p>
    <w:p w14:paraId="5426AA0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5.基金财产清算的期限为6个月，但因本基金所持证券的流动性受到限制而不能及时变现的，清算期限相应顺延。</w:t>
      </w:r>
    </w:p>
    <w:p w14:paraId="6A56D06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6.清算费用</w:t>
      </w:r>
    </w:p>
    <w:p w14:paraId="1F86AA4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清算费用是指基金财产清算小组在进行基金财产清算过程中发生的所有合理费用，清算费用由基金财产清算小组优先从基金剩余财产中支付。</w:t>
      </w:r>
    </w:p>
    <w:p w14:paraId="0C4061D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7.基金财产清算剩余资产的分配</w:t>
      </w:r>
    </w:p>
    <w:p w14:paraId="1CF5E6A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依据基金财产清算的分配方案，将基金财产清算后的全部剩余资产扣除基金财产清算费用、交纳所欠税款并清偿基金债务后，如仍有剩余，按基金份额持有人持有的基金份额比例进行分配。</w:t>
      </w:r>
    </w:p>
    <w:p w14:paraId="209E1F9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8.基金财产清算的公告</w:t>
      </w:r>
    </w:p>
    <w:p w14:paraId="6D2F6B1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清算过程中的有关重大事项须及时公告；基金财产清算报告经符合《中华人民共和国证券法》规定的会计师事务所审计并由律师事务所出具法律意见书后报中国证监会备案并公告。基金财产清算公告于基金财产清算报告报中国证监会备案后5个工作日内由基金财产清算小组进行公告</w:t>
      </w:r>
      <w:r>
        <w:rPr>
          <w:rFonts w:ascii="彩虹粗仿宋" w:eastAsia="彩虹粗仿宋" w:hAnsi="宋体" w:cs="Arial"/>
          <w:sz w:val="24"/>
        </w:rPr>
        <w:t>。</w:t>
      </w:r>
      <w:r>
        <w:rPr>
          <w:rFonts w:ascii="彩虹粗仿宋" w:eastAsia="彩虹粗仿宋" w:hAnsi="宋体" w:cs="Arial" w:hint="eastAsia"/>
          <w:sz w:val="24"/>
        </w:rPr>
        <w:t>基金财产清算小组应当将清算报告登载在规定网站上，并将清算报告提示性公告登载在规定报刊上。</w:t>
      </w:r>
    </w:p>
    <w:p w14:paraId="4F2BBC13"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9.基金财产清算账册及文件的保存</w:t>
      </w:r>
    </w:p>
    <w:p w14:paraId="5BDB0EA0" w14:textId="404ED266"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基金财产清算账册及有关文件由基金托管人保存</w:t>
      </w:r>
      <w:r>
        <w:rPr>
          <w:rFonts w:ascii="彩虹粗仿宋" w:eastAsia="彩虹粗仿宋" w:hAnsi="宋体" w:cs="Arial" w:hint="eastAsia"/>
          <w:bCs/>
          <w:sz w:val="24"/>
        </w:rPr>
        <w:t>，</w:t>
      </w:r>
      <w:r>
        <w:rPr>
          <w:rFonts w:ascii="彩虹粗仿宋" w:eastAsia="彩虹粗仿宋" w:hAnsi="宋体" w:cs="Arial"/>
          <w:bCs/>
          <w:sz w:val="24"/>
        </w:rPr>
        <w:t>保存期限</w:t>
      </w:r>
      <w:r>
        <w:rPr>
          <w:rFonts w:ascii="彩虹粗仿宋" w:eastAsia="彩虹粗仿宋" w:hAnsi="宋体" w:cs="Arial" w:hint="eastAsia"/>
          <w:sz w:val="24"/>
        </w:rPr>
        <w:t>按照法律法规的规定执行</w:t>
      </w:r>
      <w:r>
        <w:rPr>
          <w:rFonts w:ascii="彩虹粗仿宋" w:eastAsia="彩虹粗仿宋" w:hAnsi="宋体" w:cs="Arial"/>
          <w:bCs/>
          <w:sz w:val="24"/>
        </w:rPr>
        <w:t>。</w:t>
      </w:r>
    </w:p>
    <w:bookmarkEnd w:id="101"/>
    <w:p w14:paraId="7DCCF546" w14:textId="77777777" w:rsidR="00B06AEE" w:rsidRDefault="00B06AEE">
      <w:pPr>
        <w:adjustRightInd w:val="0"/>
        <w:snapToGrid w:val="0"/>
        <w:rPr>
          <w:rFonts w:ascii="彩虹粗仿宋" w:eastAsia="彩虹粗仿宋" w:hAnsi="宋体" w:cs="Arial"/>
          <w:sz w:val="24"/>
        </w:rPr>
      </w:pPr>
    </w:p>
    <w:p w14:paraId="3AEA86E0" w14:textId="77777777" w:rsidR="00B06AEE" w:rsidRDefault="00AD37FE">
      <w:pPr>
        <w:pStyle w:val="Heading2"/>
        <w:jc w:val="center"/>
        <w:rPr>
          <w:rFonts w:ascii="彩虹粗仿宋" w:eastAsia="彩虹粗仿宋"/>
          <w:sz w:val="30"/>
        </w:rPr>
      </w:pPr>
      <w:bookmarkStart w:id="102" w:name="_Toc124325901"/>
      <w:r>
        <w:rPr>
          <w:rFonts w:ascii="彩虹粗仿宋" w:eastAsia="彩虹粗仿宋" w:hint="eastAsia"/>
          <w:sz w:val="30"/>
        </w:rPr>
        <w:lastRenderedPageBreak/>
        <w:t>十七、违约责任</w:t>
      </w:r>
      <w:bookmarkEnd w:id="102"/>
    </w:p>
    <w:p w14:paraId="5245105F"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（一）基金管理人、基金托管人不履行本协议或履行本协议不符合约定的，应当承担违约责任。</w:t>
      </w:r>
    </w:p>
    <w:p w14:paraId="3E91F3EA"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二）基金管理人、基金托管人在履行各自职责的过程中，违反《基金法》或者《基金合同》和本托管协议约定，给基金财产或者基金份额持有人造成损害的，应当分别对各自的行为依法承担赔偿责任；因共同行为给基金财产或者基金份额持有人造成损害的，应当承担连带赔偿责任。</w:t>
      </w:r>
    </w:p>
    <w:p w14:paraId="004724F7"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14:paraId="4461B9B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1.不可抗力；</w:t>
      </w:r>
    </w:p>
    <w:p w14:paraId="741FC00F"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2.基金管理人和/或基金托管人按照当时有效的法律法规或中国证监会的规定作为或不作为而造成的损失等；</w:t>
      </w:r>
    </w:p>
    <w:p w14:paraId="0117E85A" w14:textId="7F54B3DE"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3.基金管理人由于按照《基金合同》规定的投资原则行使或不行使其投资权造成的直接损失或潜在损失等。</w:t>
      </w:r>
    </w:p>
    <w:p w14:paraId="0D39839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14:paraId="7278EDFF"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（五）违约行为虽已发生，但本托管协议能够继续履行的，在最大限度地保护基金份额持有人利益的前提下，基金管理人和基金托管人应当继续履行本协议。</w:t>
      </w:r>
    </w:p>
    <w:p w14:paraId="244F4E4E" w14:textId="77777777" w:rsidR="00B06AEE" w:rsidRDefault="00AD37FE">
      <w:pPr>
        <w:adjustRightInd w:val="0"/>
        <w:snapToGrid w:val="0"/>
        <w:ind w:firstLineChars="200" w:firstLine="480"/>
        <w:outlineLvl w:val="0"/>
        <w:rPr>
          <w:rFonts w:ascii="彩虹粗仿宋" w:eastAsia="彩虹粗仿宋" w:hAnsi="宋体" w:cs="Arial"/>
          <w:sz w:val="24"/>
        </w:rPr>
      </w:pPr>
      <w:r>
        <w:rPr>
          <w:rFonts w:ascii="彩虹粗仿宋" w:eastAsia="彩虹粗仿宋" w:hAnsi="宋体" w:cs="Arial" w:hint="eastAsia"/>
          <w:sz w:val="24"/>
        </w:rPr>
        <w:t>（六）由于基金管理人、基金托管人不可控制的因素导致业务出现差错，基金管理人和基金托管人虽然已经采取必要、适当、合理的措施进行检查，但是未能发现错误</w:t>
      </w:r>
      <w:r>
        <w:rPr>
          <w:rFonts w:ascii="彩虹粗仿宋" w:eastAsia="彩虹粗仿宋" w:hAnsi="宋体" w:cs="Arial"/>
          <w:sz w:val="24"/>
        </w:rPr>
        <w:t>或因前述原因无法避免错误发生</w:t>
      </w:r>
      <w:r>
        <w:rPr>
          <w:rFonts w:ascii="彩虹粗仿宋" w:eastAsia="彩虹粗仿宋" w:hAnsi="宋体" w:cs="Arial" w:hint="eastAsia"/>
          <w:sz w:val="24"/>
        </w:rPr>
        <w:t>的，由此造成基金财产或投资人损失，基金管理人和基金托管人免除赔偿责任。但是基金管理人和基金托管人应积极采取必要的措施减轻或消除由此造成的影响。</w:t>
      </w:r>
    </w:p>
    <w:p w14:paraId="117BCF8B" w14:textId="77777777" w:rsidR="00B06AEE" w:rsidRDefault="00B06AEE">
      <w:pPr>
        <w:adjustRightInd w:val="0"/>
        <w:snapToGrid w:val="0"/>
        <w:rPr>
          <w:rFonts w:ascii="彩虹粗仿宋" w:eastAsia="彩虹粗仿宋" w:hAnsi="宋体" w:cs="Arial"/>
          <w:sz w:val="24"/>
        </w:rPr>
      </w:pPr>
    </w:p>
    <w:p w14:paraId="55D5CCBB" w14:textId="77777777" w:rsidR="00B06AEE" w:rsidRDefault="00AD37FE">
      <w:pPr>
        <w:pStyle w:val="Heading2"/>
        <w:jc w:val="center"/>
        <w:rPr>
          <w:rFonts w:ascii="彩虹粗仿宋" w:eastAsia="彩虹粗仿宋"/>
          <w:sz w:val="30"/>
        </w:rPr>
      </w:pPr>
      <w:bookmarkStart w:id="103" w:name="_Toc124325902"/>
      <w:r>
        <w:rPr>
          <w:rFonts w:ascii="彩虹粗仿宋" w:eastAsia="彩虹粗仿宋" w:hint="eastAsia"/>
          <w:sz w:val="30"/>
        </w:rPr>
        <w:t>十八、争议解决方式</w:t>
      </w:r>
      <w:bookmarkEnd w:id="103"/>
    </w:p>
    <w:p w14:paraId="061BF57C"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因本协议产生或与之相关的争议，双方当事人应通过协商解决，协商不能解决的，任何一方均有权将争议提交中国国际经济贸易仲裁委员会，仲裁地点为北京市，按照中国国际经济贸易仲裁委员会届时有效的仲裁规则进行仲裁。仲裁裁决是终局的，对当事人均有约束力，仲裁费用由败诉方承担。</w:t>
      </w:r>
    </w:p>
    <w:p w14:paraId="79A53776"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lastRenderedPageBreak/>
        <w:t>争议处理期间，双方当事人应恪守基金管理人和基金托管人职责，各自继续忠实、勤勉、尽责地履行《基金合同》和本托管协议规定的义务，维护基金份额持有人的合法权益。</w:t>
      </w:r>
    </w:p>
    <w:p w14:paraId="524DAA85"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本协议受中国法律（为本协议之目的，在此不包括香港、澳门特别行政区和台湾地区法律）管辖。</w:t>
      </w:r>
    </w:p>
    <w:p w14:paraId="08938583" w14:textId="77777777" w:rsidR="00B06AEE" w:rsidRDefault="00B06AEE">
      <w:pPr>
        <w:adjustRightInd w:val="0"/>
        <w:snapToGrid w:val="0"/>
        <w:rPr>
          <w:rFonts w:ascii="彩虹粗仿宋" w:eastAsia="彩虹粗仿宋" w:hAnsi="宋体" w:cs="Arial"/>
          <w:sz w:val="24"/>
        </w:rPr>
      </w:pPr>
    </w:p>
    <w:p w14:paraId="1E75BA39" w14:textId="77777777" w:rsidR="00B06AEE" w:rsidRDefault="00AD37FE">
      <w:pPr>
        <w:pStyle w:val="Heading2"/>
        <w:jc w:val="center"/>
        <w:rPr>
          <w:rFonts w:ascii="彩虹粗仿宋" w:eastAsia="彩虹粗仿宋"/>
          <w:sz w:val="30"/>
        </w:rPr>
      </w:pPr>
      <w:bookmarkStart w:id="104" w:name="_Toc124325903"/>
      <w:r>
        <w:rPr>
          <w:rFonts w:ascii="彩虹粗仿宋" w:eastAsia="彩虹粗仿宋" w:hint="eastAsia"/>
          <w:sz w:val="30"/>
        </w:rPr>
        <w:t>十九、托管协议的效力</w:t>
      </w:r>
      <w:bookmarkEnd w:id="104"/>
    </w:p>
    <w:p w14:paraId="2575E91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双方对托管协议的效力约定如下：</w:t>
      </w:r>
    </w:p>
    <w:p w14:paraId="377AC1D0"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一）基金管理人在向中国证监会申请发售基金份额时提交的托管协议草案，应经托管协议当事人双方加盖公章或合同专用章以及双方法定代表人或授权代表签字（或盖章），协议当事人双方根据中国证监会的意见修改托管协议草案。托管协议以中国证监会注册的文本为正式文本。</w:t>
      </w:r>
    </w:p>
    <w:p w14:paraId="7B6A0879"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（二）托管协议自《基金合同》成立之日起成立，自《基金合同》生效之日起生效。托管协议的有效期自其生效之日起至基金财产清算结果报中国证监会备案并公告之日止。</w:t>
      </w:r>
    </w:p>
    <w:p w14:paraId="2DD407D7"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（三）托管协议自生效之日起对托管协议当事人具有同等的法律约束力。</w:t>
      </w:r>
    </w:p>
    <w:p w14:paraId="3A3D7C93" w14:textId="77777777" w:rsidR="00B06AEE" w:rsidRDefault="00AD37FE">
      <w:pPr>
        <w:adjustRightInd w:val="0"/>
        <w:snapToGrid w:val="0"/>
        <w:ind w:firstLineChars="200" w:firstLine="480"/>
        <w:rPr>
          <w:rFonts w:ascii="彩虹粗仿宋" w:eastAsia="彩虹粗仿宋"/>
          <w:sz w:val="30"/>
          <w:szCs w:val="30"/>
        </w:rPr>
      </w:pPr>
      <w:r>
        <w:rPr>
          <w:rFonts w:ascii="彩虹粗仿宋" w:eastAsia="彩虹粗仿宋" w:hAnsi="宋体" w:cs="Arial" w:hint="eastAsia"/>
          <w:sz w:val="24"/>
        </w:rPr>
        <w:t>（四）本协议一式六份，协议双方各持二份，上报监管机构二份，每份具有同等的法律效力。</w:t>
      </w:r>
    </w:p>
    <w:p w14:paraId="63E0F974" w14:textId="77777777" w:rsidR="00B06AEE" w:rsidRDefault="00B06AEE">
      <w:pPr>
        <w:adjustRightInd w:val="0"/>
        <w:snapToGrid w:val="0"/>
        <w:rPr>
          <w:rFonts w:ascii="彩虹粗仿宋" w:eastAsia="彩虹粗仿宋" w:hAnsi="宋体" w:cs="Arial"/>
          <w:sz w:val="24"/>
        </w:rPr>
      </w:pPr>
    </w:p>
    <w:p w14:paraId="48CEC01D" w14:textId="77777777" w:rsidR="00B06AEE" w:rsidRDefault="00AD37FE">
      <w:pPr>
        <w:pStyle w:val="Heading2"/>
        <w:jc w:val="center"/>
        <w:rPr>
          <w:rFonts w:ascii="彩虹粗仿宋" w:eastAsia="彩虹粗仿宋"/>
          <w:sz w:val="30"/>
        </w:rPr>
      </w:pPr>
      <w:bookmarkStart w:id="105" w:name="_Toc124325904"/>
      <w:r>
        <w:rPr>
          <w:rFonts w:ascii="彩虹粗仿宋" w:eastAsia="彩虹粗仿宋" w:hint="eastAsia"/>
          <w:sz w:val="30"/>
        </w:rPr>
        <w:t>二十、其他事项</w:t>
      </w:r>
      <w:bookmarkEnd w:id="105"/>
    </w:p>
    <w:p w14:paraId="3EAD04BB"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如发生有权司法机关依法冻结基金份额持有人的基金份额时，基金管理人应予以配合，承担司法协助义务。</w:t>
      </w:r>
    </w:p>
    <w:p w14:paraId="0E9B5EDE" w14:textId="77777777" w:rsidR="00B06AEE" w:rsidRDefault="00AD37FE">
      <w:pPr>
        <w:adjustRightInd w:val="0"/>
        <w:snapToGrid w:val="0"/>
        <w:ind w:firstLineChars="200" w:firstLine="480"/>
        <w:rPr>
          <w:rFonts w:ascii="彩虹粗仿宋" w:eastAsia="彩虹粗仿宋" w:hAnsi="宋体" w:cs="Arial"/>
          <w:sz w:val="24"/>
        </w:rPr>
      </w:pPr>
      <w:r>
        <w:rPr>
          <w:rFonts w:ascii="彩虹粗仿宋" w:eastAsia="彩虹粗仿宋" w:hAnsi="宋体" w:cs="Arial" w:hint="eastAsia"/>
          <w:sz w:val="24"/>
        </w:rPr>
        <w:t>除本协议有明确定义外，本协议的用语定义适用《基金合同》的约定。本协议未尽事宜，当事人依据《基金合同》、有关法律法规等规定协商办理。</w:t>
      </w:r>
    </w:p>
    <w:p w14:paraId="79931175" w14:textId="77777777" w:rsidR="00B06AEE" w:rsidRDefault="00B06AEE">
      <w:pPr>
        <w:adjustRightInd w:val="0"/>
        <w:snapToGrid w:val="0"/>
        <w:rPr>
          <w:rFonts w:ascii="彩虹粗仿宋" w:eastAsia="彩虹粗仿宋"/>
          <w:b/>
          <w:bCs/>
        </w:rPr>
      </w:pPr>
    </w:p>
    <w:p w14:paraId="1A11B928" w14:textId="77777777" w:rsidR="00B06AEE" w:rsidRDefault="00AD37FE">
      <w:pPr>
        <w:pStyle w:val="Heading2"/>
        <w:jc w:val="center"/>
        <w:rPr>
          <w:rFonts w:ascii="彩虹粗仿宋" w:eastAsia="彩虹粗仿宋"/>
          <w:sz w:val="30"/>
        </w:rPr>
      </w:pPr>
      <w:bookmarkStart w:id="106" w:name="_Toc124325905"/>
      <w:r>
        <w:rPr>
          <w:rFonts w:ascii="彩虹粗仿宋" w:eastAsia="彩虹粗仿宋" w:hint="eastAsia"/>
          <w:sz w:val="30"/>
        </w:rPr>
        <w:t>二十一、托管协议的签订</w:t>
      </w:r>
      <w:bookmarkEnd w:id="106"/>
    </w:p>
    <w:p w14:paraId="34F8EC8D" w14:textId="77777777" w:rsidR="00B06AEE" w:rsidRDefault="00AD37FE">
      <w:pPr>
        <w:spacing w:line="360" w:lineRule="auto"/>
        <w:ind w:right="26"/>
        <w:rPr>
          <w:rFonts w:ascii="彩虹粗仿宋" w:eastAsia="彩虹粗仿宋" w:hAnsi="宋体" w:cs="Arial"/>
          <w:sz w:val="24"/>
        </w:rPr>
      </w:pPr>
      <w:r>
        <w:rPr>
          <w:rFonts w:ascii="彩虹粗仿宋" w:eastAsia="彩虹粗仿宋" w:hAnsi="宋体" w:cs="Arial" w:hint="eastAsia"/>
          <w:sz w:val="24"/>
        </w:rPr>
        <w:t>本协议双方法定代表人或授权代表签章、签订地、签订日</w:t>
      </w:r>
    </w:p>
    <w:p w14:paraId="4C97BFD4" w14:textId="5E7FC15E" w:rsidR="00EB50D1" w:rsidRDefault="00EB50D1">
      <w:pPr>
        <w:widowControl/>
        <w:jc w:val="left"/>
        <w:rPr>
          <w:rFonts w:ascii="彩虹粗仿宋" w:eastAsia="彩虹粗仿宋"/>
          <w:b/>
          <w:sz w:val="24"/>
          <w:szCs w:val="28"/>
        </w:rPr>
      </w:pPr>
      <w:r>
        <w:rPr>
          <w:rFonts w:ascii="彩虹粗仿宋" w:eastAsia="彩虹粗仿宋"/>
          <w:b/>
          <w:sz w:val="24"/>
          <w:szCs w:val="28"/>
        </w:rPr>
        <w:br w:type="page"/>
      </w:r>
    </w:p>
    <w:p w14:paraId="03B7EB26" w14:textId="77777777" w:rsidR="00BC6B9B" w:rsidRDefault="00BC6B9B">
      <w:pPr>
        <w:spacing w:line="360" w:lineRule="auto"/>
        <w:ind w:right="26"/>
        <w:rPr>
          <w:rFonts w:ascii="彩虹粗仿宋" w:eastAsia="彩虹粗仿宋"/>
          <w:sz w:val="24"/>
        </w:rPr>
        <w:sectPr w:rsidR="00BC6B9B">
          <w:footerReference w:type="default" r:id="rId8"/>
          <w:pgSz w:w="11906" w:h="16838"/>
          <w:pgMar w:top="1418" w:right="1701" w:bottom="1418" w:left="1701" w:header="851" w:footer="992" w:gutter="0"/>
          <w:pgNumType w:start="1"/>
          <w:cols w:space="425"/>
          <w:docGrid w:type="lines" w:linePitch="312"/>
        </w:sectPr>
      </w:pPr>
    </w:p>
    <w:p w14:paraId="74A7035A" w14:textId="08B19FDC" w:rsidR="00B06AEE" w:rsidRDefault="00AD37FE">
      <w:pPr>
        <w:spacing w:line="360" w:lineRule="auto"/>
        <w:ind w:right="26"/>
        <w:rPr>
          <w:rFonts w:ascii="彩虹粗仿宋" w:eastAsia="彩虹粗仿宋"/>
          <w:sz w:val="24"/>
        </w:rPr>
      </w:pPr>
      <w:r>
        <w:rPr>
          <w:rFonts w:ascii="彩虹粗仿宋" w:eastAsia="彩虹粗仿宋" w:hint="eastAsia"/>
          <w:sz w:val="24"/>
        </w:rPr>
        <w:lastRenderedPageBreak/>
        <w:t>本页无正文，为《</w:t>
      </w:r>
      <w:r w:rsidR="009B7CB4">
        <w:rPr>
          <w:rFonts w:ascii="彩虹粗仿宋" w:eastAsia="彩虹粗仿宋" w:hint="eastAsia"/>
          <w:sz w:val="24"/>
        </w:rPr>
        <w:t>贝莱德稳利63个月封闭式债券型证券投资基金</w:t>
      </w:r>
      <w:r>
        <w:rPr>
          <w:rFonts w:ascii="彩虹粗仿宋" w:eastAsia="彩虹粗仿宋" w:hint="eastAsia"/>
          <w:sz w:val="24"/>
        </w:rPr>
        <w:t>托管协议》的签字盖章页。</w:t>
      </w:r>
    </w:p>
    <w:p w14:paraId="46387DA5" w14:textId="77777777" w:rsidR="00B06AEE" w:rsidRDefault="00B06AEE">
      <w:pPr>
        <w:spacing w:line="360" w:lineRule="auto"/>
        <w:rPr>
          <w:rFonts w:ascii="彩虹粗仿宋" w:eastAsia="彩虹粗仿宋"/>
          <w:sz w:val="24"/>
        </w:rPr>
      </w:pPr>
    </w:p>
    <w:p w14:paraId="0038F6CA" w14:textId="77777777" w:rsidR="00B06AEE" w:rsidRDefault="00B06AEE">
      <w:pPr>
        <w:spacing w:line="360" w:lineRule="auto"/>
        <w:rPr>
          <w:rFonts w:ascii="彩虹粗仿宋" w:eastAsia="彩虹粗仿宋"/>
          <w:sz w:val="24"/>
        </w:rPr>
      </w:pPr>
    </w:p>
    <w:p w14:paraId="246060AD" w14:textId="77777777" w:rsidR="00B06AEE" w:rsidRDefault="00AD37FE">
      <w:pPr>
        <w:spacing w:line="360" w:lineRule="auto"/>
        <w:ind w:right="26"/>
        <w:rPr>
          <w:rFonts w:ascii="彩虹粗仿宋" w:eastAsia="彩虹粗仿宋"/>
          <w:sz w:val="24"/>
        </w:rPr>
      </w:pPr>
      <w:r>
        <w:rPr>
          <w:rFonts w:ascii="彩虹粗仿宋" w:eastAsia="彩虹粗仿宋" w:hint="eastAsia"/>
          <w:sz w:val="24"/>
        </w:rPr>
        <w:t>基金管理人：贝莱德基金管理有限公司（盖章）</w:t>
      </w:r>
    </w:p>
    <w:p w14:paraId="206996A8" w14:textId="77777777" w:rsidR="00B06AEE" w:rsidRDefault="00B06AEE">
      <w:pPr>
        <w:spacing w:line="360" w:lineRule="auto"/>
        <w:ind w:right="26"/>
        <w:rPr>
          <w:rFonts w:ascii="彩虹粗仿宋" w:eastAsia="彩虹粗仿宋"/>
          <w:sz w:val="24"/>
        </w:rPr>
      </w:pPr>
    </w:p>
    <w:p w14:paraId="0DC569AD" w14:textId="77777777" w:rsidR="00B06AEE" w:rsidRDefault="00B06AEE">
      <w:pPr>
        <w:spacing w:line="360" w:lineRule="auto"/>
        <w:ind w:right="26"/>
        <w:rPr>
          <w:rFonts w:ascii="彩虹粗仿宋" w:eastAsia="彩虹粗仿宋"/>
          <w:sz w:val="24"/>
        </w:rPr>
      </w:pPr>
    </w:p>
    <w:p w14:paraId="6973BFA0" w14:textId="77777777" w:rsidR="00B06AEE" w:rsidRDefault="00AD37FE">
      <w:pPr>
        <w:spacing w:line="360" w:lineRule="auto"/>
        <w:ind w:right="26"/>
        <w:rPr>
          <w:rFonts w:ascii="彩虹粗仿宋" w:eastAsia="彩虹粗仿宋"/>
          <w:sz w:val="24"/>
        </w:rPr>
      </w:pPr>
      <w:r>
        <w:rPr>
          <w:rFonts w:ascii="彩虹粗仿宋" w:eastAsia="彩虹粗仿宋" w:hint="eastAsia"/>
          <w:sz w:val="24"/>
        </w:rPr>
        <w:t xml:space="preserve">法定代表人或授权代表：                   </w:t>
      </w:r>
    </w:p>
    <w:p w14:paraId="188B5CA8" w14:textId="77777777" w:rsidR="00B06AEE" w:rsidRDefault="00B06AEE">
      <w:pPr>
        <w:spacing w:line="360" w:lineRule="auto"/>
        <w:ind w:right="26"/>
        <w:rPr>
          <w:rFonts w:ascii="彩虹粗仿宋" w:eastAsia="彩虹粗仿宋"/>
          <w:sz w:val="24"/>
        </w:rPr>
      </w:pPr>
    </w:p>
    <w:p w14:paraId="356E525A" w14:textId="77777777" w:rsidR="00B06AEE" w:rsidRDefault="00B06AEE">
      <w:pPr>
        <w:spacing w:line="360" w:lineRule="auto"/>
        <w:ind w:right="26"/>
        <w:rPr>
          <w:rFonts w:ascii="彩虹粗仿宋" w:eastAsia="彩虹粗仿宋"/>
          <w:sz w:val="24"/>
        </w:rPr>
      </w:pPr>
    </w:p>
    <w:p w14:paraId="645A1ECF" w14:textId="77777777" w:rsidR="00B06AEE" w:rsidRDefault="00B06AEE">
      <w:pPr>
        <w:spacing w:line="360" w:lineRule="auto"/>
        <w:ind w:right="26"/>
        <w:rPr>
          <w:rFonts w:ascii="彩虹粗仿宋" w:eastAsia="彩虹粗仿宋"/>
          <w:sz w:val="24"/>
        </w:rPr>
      </w:pPr>
    </w:p>
    <w:p w14:paraId="3580B9F5" w14:textId="77777777" w:rsidR="00B06AEE" w:rsidRDefault="00B06AEE">
      <w:pPr>
        <w:spacing w:line="360" w:lineRule="auto"/>
        <w:ind w:right="26"/>
        <w:rPr>
          <w:rFonts w:ascii="彩虹粗仿宋" w:eastAsia="彩虹粗仿宋"/>
          <w:sz w:val="24"/>
        </w:rPr>
      </w:pPr>
    </w:p>
    <w:p w14:paraId="266AB1C4" w14:textId="77777777" w:rsidR="00B06AEE" w:rsidRDefault="00AD37FE">
      <w:pPr>
        <w:spacing w:line="360" w:lineRule="auto"/>
        <w:ind w:right="26"/>
        <w:rPr>
          <w:rFonts w:ascii="彩虹粗仿宋" w:eastAsia="彩虹粗仿宋"/>
          <w:sz w:val="24"/>
        </w:rPr>
      </w:pPr>
      <w:r>
        <w:rPr>
          <w:rFonts w:ascii="彩虹粗仿宋" w:eastAsia="彩虹粗仿宋" w:hint="eastAsia"/>
          <w:sz w:val="24"/>
        </w:rPr>
        <w:t>基金托管人：中国建设银行股份有限公司（盖章）</w:t>
      </w:r>
    </w:p>
    <w:p w14:paraId="663263CC" w14:textId="77777777" w:rsidR="00B06AEE" w:rsidRDefault="00B06AEE">
      <w:pPr>
        <w:spacing w:line="360" w:lineRule="auto"/>
        <w:ind w:right="26"/>
        <w:rPr>
          <w:rFonts w:ascii="彩虹粗仿宋" w:eastAsia="彩虹粗仿宋"/>
          <w:sz w:val="24"/>
        </w:rPr>
      </w:pPr>
    </w:p>
    <w:p w14:paraId="362B80C5" w14:textId="77777777" w:rsidR="00B06AEE" w:rsidRDefault="00B06AEE">
      <w:pPr>
        <w:spacing w:line="360" w:lineRule="auto"/>
        <w:ind w:right="26"/>
        <w:rPr>
          <w:rFonts w:ascii="彩虹粗仿宋" w:eastAsia="彩虹粗仿宋"/>
          <w:sz w:val="24"/>
        </w:rPr>
      </w:pPr>
    </w:p>
    <w:p w14:paraId="3DF7E27A" w14:textId="77777777" w:rsidR="00B06AEE" w:rsidRDefault="00AD37FE">
      <w:pPr>
        <w:spacing w:line="360" w:lineRule="auto"/>
        <w:ind w:right="26"/>
        <w:rPr>
          <w:rFonts w:ascii="彩虹粗仿宋" w:eastAsia="彩虹粗仿宋"/>
          <w:sz w:val="24"/>
        </w:rPr>
      </w:pPr>
      <w:r>
        <w:rPr>
          <w:rFonts w:ascii="彩虹粗仿宋" w:eastAsia="彩虹粗仿宋" w:hint="eastAsia"/>
          <w:sz w:val="24"/>
        </w:rPr>
        <w:t xml:space="preserve">法定代表人或授权代表：                   </w:t>
      </w:r>
    </w:p>
    <w:p w14:paraId="69B84526" w14:textId="77777777" w:rsidR="00B06AEE" w:rsidRDefault="00B06AEE">
      <w:pPr>
        <w:spacing w:line="360" w:lineRule="auto"/>
        <w:ind w:right="26"/>
        <w:rPr>
          <w:rFonts w:ascii="彩虹粗仿宋" w:eastAsia="彩虹粗仿宋"/>
          <w:b/>
          <w:sz w:val="24"/>
          <w:szCs w:val="28"/>
        </w:rPr>
      </w:pPr>
    </w:p>
    <w:p w14:paraId="5D41B30C" w14:textId="77777777" w:rsidR="00B06AEE" w:rsidRDefault="00B06AEE">
      <w:pPr>
        <w:spacing w:line="360" w:lineRule="auto"/>
        <w:ind w:right="26"/>
        <w:rPr>
          <w:rFonts w:ascii="彩虹粗仿宋" w:eastAsia="彩虹粗仿宋"/>
          <w:b/>
          <w:sz w:val="24"/>
          <w:szCs w:val="28"/>
        </w:rPr>
      </w:pPr>
    </w:p>
    <w:p w14:paraId="3C7EB0F2" w14:textId="77777777" w:rsidR="00B06AEE" w:rsidRDefault="00B06AEE">
      <w:pPr>
        <w:spacing w:line="360" w:lineRule="auto"/>
        <w:ind w:right="26"/>
        <w:rPr>
          <w:rFonts w:ascii="彩虹粗仿宋" w:eastAsia="彩虹粗仿宋"/>
          <w:b/>
          <w:sz w:val="24"/>
          <w:szCs w:val="28"/>
        </w:rPr>
      </w:pPr>
    </w:p>
    <w:p w14:paraId="635708BB" w14:textId="77777777" w:rsidR="00B06AEE" w:rsidRDefault="00AD37FE">
      <w:pPr>
        <w:spacing w:line="360" w:lineRule="auto"/>
        <w:ind w:right="26"/>
        <w:rPr>
          <w:rFonts w:ascii="彩虹粗仿宋" w:eastAsia="彩虹粗仿宋"/>
          <w:b/>
          <w:sz w:val="24"/>
          <w:szCs w:val="28"/>
        </w:rPr>
      </w:pPr>
      <w:r>
        <w:rPr>
          <w:rFonts w:ascii="彩虹粗仿宋" w:eastAsia="彩虹粗仿宋" w:hint="eastAsia"/>
          <w:b/>
          <w:sz w:val="24"/>
          <w:szCs w:val="28"/>
        </w:rPr>
        <w:t>签订地点：</w:t>
      </w:r>
      <w:r>
        <w:rPr>
          <w:rFonts w:ascii="彩虹粗仿宋" w:eastAsia="彩虹粗仿宋"/>
          <w:b/>
          <w:sz w:val="24"/>
          <w:szCs w:val="28"/>
        </w:rPr>
        <w:t>上海</w:t>
      </w:r>
    </w:p>
    <w:p w14:paraId="1CF6DF74" w14:textId="77777777" w:rsidR="00B06AEE" w:rsidRDefault="00AD37FE">
      <w:pPr>
        <w:spacing w:line="360" w:lineRule="auto"/>
        <w:ind w:right="26"/>
        <w:rPr>
          <w:rFonts w:ascii="彩虹粗仿宋" w:eastAsia="彩虹粗仿宋"/>
          <w:b/>
          <w:sz w:val="24"/>
          <w:szCs w:val="28"/>
        </w:rPr>
      </w:pPr>
      <w:proofErr w:type="gramStart"/>
      <w:r>
        <w:rPr>
          <w:rFonts w:ascii="彩虹粗仿宋" w:eastAsia="彩虹粗仿宋" w:hint="eastAsia"/>
          <w:b/>
          <w:sz w:val="24"/>
          <w:szCs w:val="28"/>
        </w:rPr>
        <w:t xml:space="preserve">签 订 </w:t>
      </w:r>
      <w:proofErr w:type="gramEnd"/>
      <w:r>
        <w:rPr>
          <w:rFonts w:ascii="彩虹粗仿宋" w:eastAsia="彩虹粗仿宋" w:hint="eastAsia"/>
          <w:b/>
          <w:sz w:val="24"/>
          <w:szCs w:val="28"/>
        </w:rPr>
        <w:t>日</w:t>
      </w:r>
      <w:proofErr w:type="gramStart"/>
      <w:r>
        <w:rPr>
          <w:rFonts w:ascii="彩虹粗仿宋" w:eastAsia="彩虹粗仿宋" w:hint="eastAsia"/>
          <w:b/>
          <w:sz w:val="24"/>
          <w:szCs w:val="28"/>
        </w:rPr>
        <w:t>：     年</w:t>
      </w:r>
      <w:r>
        <w:rPr>
          <w:rFonts w:ascii="彩虹粗仿宋" w:eastAsia="彩虹粗仿宋"/>
          <w:b/>
          <w:sz w:val="24"/>
          <w:szCs w:val="28"/>
        </w:rPr>
        <w:t xml:space="preserve">  </w:t>
      </w:r>
      <w:r>
        <w:rPr>
          <w:rFonts w:ascii="彩虹粗仿宋" w:eastAsia="彩虹粗仿宋" w:hint="eastAsia"/>
          <w:b/>
          <w:sz w:val="24"/>
          <w:szCs w:val="28"/>
        </w:rPr>
        <w:t xml:space="preserve">   月</w:t>
      </w:r>
      <w:r>
        <w:rPr>
          <w:rFonts w:ascii="彩虹粗仿宋" w:eastAsia="彩虹粗仿宋"/>
          <w:b/>
          <w:sz w:val="24"/>
          <w:szCs w:val="28"/>
        </w:rPr>
        <w:t xml:space="preserve"> </w:t>
      </w:r>
      <w:r>
        <w:rPr>
          <w:rFonts w:ascii="彩虹粗仿宋" w:eastAsia="彩虹粗仿宋" w:hint="eastAsia"/>
          <w:b/>
          <w:sz w:val="24"/>
          <w:szCs w:val="28"/>
        </w:rPr>
        <w:t xml:space="preserve"> </w:t>
      </w:r>
      <w:r>
        <w:rPr>
          <w:rFonts w:ascii="彩虹粗仿宋" w:eastAsia="彩虹粗仿宋"/>
          <w:b/>
          <w:sz w:val="24"/>
          <w:szCs w:val="28"/>
        </w:rPr>
        <w:t xml:space="preserve"> </w:t>
      </w:r>
      <w:r>
        <w:rPr>
          <w:rFonts w:ascii="彩虹粗仿宋" w:eastAsia="彩虹粗仿宋" w:hint="eastAsia"/>
          <w:b/>
          <w:sz w:val="24"/>
          <w:szCs w:val="28"/>
        </w:rPr>
        <w:t xml:space="preserve"> 日</w:t>
      </w:r>
      <w:proofErr w:type="gramEnd"/>
    </w:p>
    <w:sectPr w:rsidR="00B06AEE" w:rsidSect="00BC6B9B">
      <w:footerReference w:type="default" r:id="rId9"/>
      <w:type w:val="continuous"/>
      <w:pgSz w:w="11906" w:h="16838"/>
      <w:pgMar w:top="1418" w:right="1701" w:bottom="1418" w:left="1701"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F2BDC4" w14:textId="77777777" w:rsidR="0042133B" w:rsidRDefault="0042133B">
      <w:r>
        <w:separator/>
      </w:r>
    </w:p>
  </w:endnote>
  <w:endnote w:type="continuationSeparator" w:id="0">
    <w:p w14:paraId="3FEC5DD3" w14:textId="77777777" w:rsidR="0042133B" w:rsidRDefault="00421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微软雅黑"/>
    <w:charset w:val="86"/>
    <w:family w:val="modern"/>
    <w:pitch w:val="default"/>
    <w:sig w:usb0="00000001" w:usb1="080E0000" w:usb2="00000000" w:usb3="00000000" w:csb0="00040000" w:csb1="00000000"/>
  </w:font>
  <w:font w:name="方正仿宋简体">
    <w:altName w:val="宋体"/>
    <w:charset w:val="86"/>
    <w:family w:val="auto"/>
    <w:pitch w:val="default"/>
    <w:sig w:usb0="00000000" w:usb1="00000000" w:usb2="00000012"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楷体_GB2312">
    <w:altName w:val="楷体"/>
    <w:charset w:val="86"/>
    <w:family w:val="auto"/>
    <w:pitch w:val="default"/>
    <w:sig w:usb0="00000001" w:usb1="080E0000" w:usb2="00000000" w:usb3="00000000" w:csb0="00040000" w:csb1="00000000"/>
  </w:font>
  <w:font w:name="彩虹粗仿宋">
    <w:altName w:val="微软雅黑"/>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65E95" w14:textId="77777777" w:rsidR="00B06AEE" w:rsidRDefault="00B06AEE">
    <w:pPr>
      <w:pStyle w:val="Footer"/>
      <w:jc w:val="center"/>
      <w:rPr>
        <w:rFonts w:ascii="Arial" w:hAnsi="Arial"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3344583"/>
      <w:docPartObj>
        <w:docPartGallery w:val="AutoText"/>
      </w:docPartObj>
    </w:sdtPr>
    <w:sdtEndPr/>
    <w:sdtContent>
      <w:p w14:paraId="7DD960D7" w14:textId="77777777" w:rsidR="00B06AEE" w:rsidRDefault="00AD37FE">
        <w:pPr>
          <w:pStyle w:val="Footer"/>
          <w:jc w:val="center"/>
        </w:pPr>
        <w:r>
          <w:fldChar w:fldCharType="begin"/>
        </w:r>
        <w:r>
          <w:instrText xml:space="preserve"> PAGE   \* MERGEFORMAT </w:instrText>
        </w:r>
        <w:r>
          <w:fldChar w:fldCharType="separate"/>
        </w:r>
        <w:r w:rsidR="003E17D8">
          <w:rPr>
            <w:noProof/>
          </w:rPr>
          <w:t>2</w:t>
        </w:r>
        <w:r>
          <w:fldChar w:fldCharType="end"/>
        </w:r>
      </w:p>
    </w:sdtContent>
  </w:sdt>
  <w:p w14:paraId="1765073A" w14:textId="77777777" w:rsidR="00B06AEE" w:rsidRDefault="00B06A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14A02" w14:textId="0C9571A0" w:rsidR="00BC6B9B" w:rsidRDefault="00BC6B9B">
    <w:pPr>
      <w:pStyle w:val="Footer"/>
      <w:jc w:val="center"/>
    </w:pPr>
  </w:p>
  <w:p w14:paraId="2DD0F802" w14:textId="77777777" w:rsidR="00BC6B9B" w:rsidRDefault="00BC6B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52CB8" w14:textId="77777777" w:rsidR="0042133B" w:rsidRDefault="0042133B">
      <w:r>
        <w:separator/>
      </w:r>
    </w:p>
  </w:footnote>
  <w:footnote w:type="continuationSeparator" w:id="0">
    <w:p w14:paraId="053800F1" w14:textId="77777777" w:rsidR="0042133B" w:rsidRDefault="0042133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wNDO1MDQzNzM2szBT0lEKTi0uzszPAykwrgUATS6SKiwAAAA="/>
  </w:docVars>
  <w:rsids>
    <w:rsidRoot w:val="004A0E60"/>
    <w:rsid w:val="00004937"/>
    <w:rsid w:val="000104C9"/>
    <w:rsid w:val="00012720"/>
    <w:rsid w:val="00013630"/>
    <w:rsid w:val="00013D1B"/>
    <w:rsid w:val="00016350"/>
    <w:rsid w:val="000216BD"/>
    <w:rsid w:val="00024A00"/>
    <w:rsid w:val="000255A0"/>
    <w:rsid w:val="00030201"/>
    <w:rsid w:val="0003058F"/>
    <w:rsid w:val="00030B0C"/>
    <w:rsid w:val="00032640"/>
    <w:rsid w:val="00032FB0"/>
    <w:rsid w:val="00033DA5"/>
    <w:rsid w:val="00033F79"/>
    <w:rsid w:val="000346C7"/>
    <w:rsid w:val="00034CAC"/>
    <w:rsid w:val="000357F3"/>
    <w:rsid w:val="00035B3F"/>
    <w:rsid w:val="0003738B"/>
    <w:rsid w:val="0004349E"/>
    <w:rsid w:val="00043F13"/>
    <w:rsid w:val="00044FC6"/>
    <w:rsid w:val="00046117"/>
    <w:rsid w:val="00051FAF"/>
    <w:rsid w:val="00052CE2"/>
    <w:rsid w:val="0005476D"/>
    <w:rsid w:val="00055989"/>
    <w:rsid w:val="0006414B"/>
    <w:rsid w:val="0006656C"/>
    <w:rsid w:val="00067B9C"/>
    <w:rsid w:val="0007068E"/>
    <w:rsid w:val="00073ADE"/>
    <w:rsid w:val="00074680"/>
    <w:rsid w:val="00077AEC"/>
    <w:rsid w:val="00083A15"/>
    <w:rsid w:val="00085733"/>
    <w:rsid w:val="00090CC1"/>
    <w:rsid w:val="0009389E"/>
    <w:rsid w:val="000957B3"/>
    <w:rsid w:val="000961B0"/>
    <w:rsid w:val="000A1158"/>
    <w:rsid w:val="000A4583"/>
    <w:rsid w:val="000A5B48"/>
    <w:rsid w:val="000A78BE"/>
    <w:rsid w:val="000B17DB"/>
    <w:rsid w:val="000B4C77"/>
    <w:rsid w:val="000B544C"/>
    <w:rsid w:val="000B72A0"/>
    <w:rsid w:val="000C0B67"/>
    <w:rsid w:val="000C7A4B"/>
    <w:rsid w:val="000D0A22"/>
    <w:rsid w:val="000D1FD2"/>
    <w:rsid w:val="000D6C9D"/>
    <w:rsid w:val="000D77A9"/>
    <w:rsid w:val="000E70B0"/>
    <w:rsid w:val="000F030D"/>
    <w:rsid w:val="000F1FB9"/>
    <w:rsid w:val="000F702D"/>
    <w:rsid w:val="000F7DA1"/>
    <w:rsid w:val="00101939"/>
    <w:rsid w:val="00101E6C"/>
    <w:rsid w:val="0010453C"/>
    <w:rsid w:val="001049F5"/>
    <w:rsid w:val="00106554"/>
    <w:rsid w:val="001072D8"/>
    <w:rsid w:val="001122A6"/>
    <w:rsid w:val="0011403A"/>
    <w:rsid w:val="00114E26"/>
    <w:rsid w:val="001156D2"/>
    <w:rsid w:val="00117ECF"/>
    <w:rsid w:val="001209B6"/>
    <w:rsid w:val="00123B2F"/>
    <w:rsid w:val="00124BF2"/>
    <w:rsid w:val="00124F4E"/>
    <w:rsid w:val="00130913"/>
    <w:rsid w:val="00132671"/>
    <w:rsid w:val="00132962"/>
    <w:rsid w:val="00133164"/>
    <w:rsid w:val="00136E8F"/>
    <w:rsid w:val="001373E8"/>
    <w:rsid w:val="00137EBE"/>
    <w:rsid w:val="001403F0"/>
    <w:rsid w:val="00141C1A"/>
    <w:rsid w:val="00143A9D"/>
    <w:rsid w:val="001502E7"/>
    <w:rsid w:val="00151B11"/>
    <w:rsid w:val="00151DFE"/>
    <w:rsid w:val="0015229D"/>
    <w:rsid w:val="00154524"/>
    <w:rsid w:val="0015458F"/>
    <w:rsid w:val="00155805"/>
    <w:rsid w:val="00157BFC"/>
    <w:rsid w:val="00160009"/>
    <w:rsid w:val="00161FC2"/>
    <w:rsid w:val="00161FC7"/>
    <w:rsid w:val="00164970"/>
    <w:rsid w:val="001710A0"/>
    <w:rsid w:val="0017121B"/>
    <w:rsid w:val="00173E36"/>
    <w:rsid w:val="00174803"/>
    <w:rsid w:val="0017655D"/>
    <w:rsid w:val="00181975"/>
    <w:rsid w:val="00182A36"/>
    <w:rsid w:val="0018311C"/>
    <w:rsid w:val="00183EA3"/>
    <w:rsid w:val="001846CA"/>
    <w:rsid w:val="00186158"/>
    <w:rsid w:val="001863D8"/>
    <w:rsid w:val="0019221A"/>
    <w:rsid w:val="00192901"/>
    <w:rsid w:val="00194B53"/>
    <w:rsid w:val="00195384"/>
    <w:rsid w:val="00196D46"/>
    <w:rsid w:val="00197308"/>
    <w:rsid w:val="001A071B"/>
    <w:rsid w:val="001A2186"/>
    <w:rsid w:val="001A2D28"/>
    <w:rsid w:val="001A5F3F"/>
    <w:rsid w:val="001B3C01"/>
    <w:rsid w:val="001B4453"/>
    <w:rsid w:val="001B6B65"/>
    <w:rsid w:val="001C13E3"/>
    <w:rsid w:val="001C2182"/>
    <w:rsid w:val="001C248E"/>
    <w:rsid w:val="001C349B"/>
    <w:rsid w:val="001C6F3F"/>
    <w:rsid w:val="001D1301"/>
    <w:rsid w:val="001D395D"/>
    <w:rsid w:val="001D4F8C"/>
    <w:rsid w:val="001D5D49"/>
    <w:rsid w:val="001E2285"/>
    <w:rsid w:val="001E22F4"/>
    <w:rsid w:val="001E287A"/>
    <w:rsid w:val="001E2CF7"/>
    <w:rsid w:val="001E3135"/>
    <w:rsid w:val="001E4097"/>
    <w:rsid w:val="001F0C0D"/>
    <w:rsid w:val="001F1263"/>
    <w:rsid w:val="001F14B6"/>
    <w:rsid w:val="001F3968"/>
    <w:rsid w:val="001F52BC"/>
    <w:rsid w:val="001F5BB4"/>
    <w:rsid w:val="00201DD5"/>
    <w:rsid w:val="00207DB1"/>
    <w:rsid w:val="002119DA"/>
    <w:rsid w:val="00216B88"/>
    <w:rsid w:val="002179EA"/>
    <w:rsid w:val="00220161"/>
    <w:rsid w:val="0022158A"/>
    <w:rsid w:val="0022544C"/>
    <w:rsid w:val="00226D9A"/>
    <w:rsid w:val="00231543"/>
    <w:rsid w:val="00233428"/>
    <w:rsid w:val="0023746C"/>
    <w:rsid w:val="0023773B"/>
    <w:rsid w:val="002411FA"/>
    <w:rsid w:val="00242403"/>
    <w:rsid w:val="002445E2"/>
    <w:rsid w:val="00244C38"/>
    <w:rsid w:val="00246829"/>
    <w:rsid w:val="00246B60"/>
    <w:rsid w:val="00247EB5"/>
    <w:rsid w:val="002506B5"/>
    <w:rsid w:val="00250F5A"/>
    <w:rsid w:val="00251442"/>
    <w:rsid w:val="002546A6"/>
    <w:rsid w:val="002548C5"/>
    <w:rsid w:val="00255311"/>
    <w:rsid w:val="00262B5D"/>
    <w:rsid w:val="00263179"/>
    <w:rsid w:val="002641EE"/>
    <w:rsid w:val="00264395"/>
    <w:rsid w:val="00271B00"/>
    <w:rsid w:val="00271F2D"/>
    <w:rsid w:val="002736A7"/>
    <w:rsid w:val="002747BD"/>
    <w:rsid w:val="00274F9D"/>
    <w:rsid w:val="002762E1"/>
    <w:rsid w:val="00276EA1"/>
    <w:rsid w:val="00276EC7"/>
    <w:rsid w:val="002802E9"/>
    <w:rsid w:val="002807F4"/>
    <w:rsid w:val="00280888"/>
    <w:rsid w:val="002818C7"/>
    <w:rsid w:val="00281E53"/>
    <w:rsid w:val="0028227A"/>
    <w:rsid w:val="002827CA"/>
    <w:rsid w:val="00286FE5"/>
    <w:rsid w:val="00290FE5"/>
    <w:rsid w:val="0029300D"/>
    <w:rsid w:val="0029334F"/>
    <w:rsid w:val="00293405"/>
    <w:rsid w:val="00294EAB"/>
    <w:rsid w:val="00295F45"/>
    <w:rsid w:val="002A122C"/>
    <w:rsid w:val="002A384A"/>
    <w:rsid w:val="002A44B4"/>
    <w:rsid w:val="002A6E49"/>
    <w:rsid w:val="002A7792"/>
    <w:rsid w:val="002B352C"/>
    <w:rsid w:val="002B3858"/>
    <w:rsid w:val="002B5490"/>
    <w:rsid w:val="002B6AAF"/>
    <w:rsid w:val="002B787A"/>
    <w:rsid w:val="002C06FC"/>
    <w:rsid w:val="002C33CD"/>
    <w:rsid w:val="002C4C41"/>
    <w:rsid w:val="002C6331"/>
    <w:rsid w:val="002D3431"/>
    <w:rsid w:val="002D36FC"/>
    <w:rsid w:val="002D3C49"/>
    <w:rsid w:val="002D63FB"/>
    <w:rsid w:val="002D6F9F"/>
    <w:rsid w:val="002D6FC0"/>
    <w:rsid w:val="002D78FC"/>
    <w:rsid w:val="002E0C6F"/>
    <w:rsid w:val="002E0E6B"/>
    <w:rsid w:val="002E2FAB"/>
    <w:rsid w:val="002E712E"/>
    <w:rsid w:val="002E7724"/>
    <w:rsid w:val="002E798E"/>
    <w:rsid w:val="002E7C46"/>
    <w:rsid w:val="002F16E3"/>
    <w:rsid w:val="002F2050"/>
    <w:rsid w:val="002F33A9"/>
    <w:rsid w:val="002F3DB5"/>
    <w:rsid w:val="002F4FB0"/>
    <w:rsid w:val="002F5DE0"/>
    <w:rsid w:val="0030115A"/>
    <w:rsid w:val="0030287A"/>
    <w:rsid w:val="00303F9E"/>
    <w:rsid w:val="00305A29"/>
    <w:rsid w:val="0031019F"/>
    <w:rsid w:val="003139FA"/>
    <w:rsid w:val="00313C46"/>
    <w:rsid w:val="00316924"/>
    <w:rsid w:val="00317280"/>
    <w:rsid w:val="00317710"/>
    <w:rsid w:val="00317E93"/>
    <w:rsid w:val="003206C2"/>
    <w:rsid w:val="00322D06"/>
    <w:rsid w:val="003234BB"/>
    <w:rsid w:val="00324110"/>
    <w:rsid w:val="00324AD5"/>
    <w:rsid w:val="00324F0E"/>
    <w:rsid w:val="003254D6"/>
    <w:rsid w:val="0033159F"/>
    <w:rsid w:val="00331C82"/>
    <w:rsid w:val="00332325"/>
    <w:rsid w:val="0033255C"/>
    <w:rsid w:val="003350DB"/>
    <w:rsid w:val="00335C54"/>
    <w:rsid w:val="00341B3C"/>
    <w:rsid w:val="00341E4D"/>
    <w:rsid w:val="00346DDC"/>
    <w:rsid w:val="00350257"/>
    <w:rsid w:val="00350BE7"/>
    <w:rsid w:val="00353D0D"/>
    <w:rsid w:val="003543B2"/>
    <w:rsid w:val="0035502C"/>
    <w:rsid w:val="003556C6"/>
    <w:rsid w:val="00356547"/>
    <w:rsid w:val="003571B4"/>
    <w:rsid w:val="00362EFF"/>
    <w:rsid w:val="003662BD"/>
    <w:rsid w:val="00370378"/>
    <w:rsid w:val="00372D3C"/>
    <w:rsid w:val="00374611"/>
    <w:rsid w:val="00377370"/>
    <w:rsid w:val="003779F2"/>
    <w:rsid w:val="003800F2"/>
    <w:rsid w:val="003805DC"/>
    <w:rsid w:val="0038311E"/>
    <w:rsid w:val="00383161"/>
    <w:rsid w:val="0038741E"/>
    <w:rsid w:val="003925E3"/>
    <w:rsid w:val="00393E7D"/>
    <w:rsid w:val="003961FE"/>
    <w:rsid w:val="003972E7"/>
    <w:rsid w:val="00397818"/>
    <w:rsid w:val="003A0545"/>
    <w:rsid w:val="003A0B46"/>
    <w:rsid w:val="003A1D3B"/>
    <w:rsid w:val="003A37E0"/>
    <w:rsid w:val="003A3A0A"/>
    <w:rsid w:val="003A454F"/>
    <w:rsid w:val="003A56CF"/>
    <w:rsid w:val="003A5F31"/>
    <w:rsid w:val="003A6D5A"/>
    <w:rsid w:val="003A79D4"/>
    <w:rsid w:val="003B025C"/>
    <w:rsid w:val="003B5DD8"/>
    <w:rsid w:val="003B75D1"/>
    <w:rsid w:val="003C1915"/>
    <w:rsid w:val="003C2339"/>
    <w:rsid w:val="003C252B"/>
    <w:rsid w:val="003C4349"/>
    <w:rsid w:val="003C514B"/>
    <w:rsid w:val="003C6BAB"/>
    <w:rsid w:val="003C6FEA"/>
    <w:rsid w:val="003D734E"/>
    <w:rsid w:val="003E17D8"/>
    <w:rsid w:val="003E2173"/>
    <w:rsid w:val="003E271A"/>
    <w:rsid w:val="003E3FF8"/>
    <w:rsid w:val="003E5CDD"/>
    <w:rsid w:val="003E6065"/>
    <w:rsid w:val="003E6C9B"/>
    <w:rsid w:val="003E71B0"/>
    <w:rsid w:val="003E7288"/>
    <w:rsid w:val="003F2ACD"/>
    <w:rsid w:val="003F2FFA"/>
    <w:rsid w:val="003F3F85"/>
    <w:rsid w:val="003F680B"/>
    <w:rsid w:val="003F6F3E"/>
    <w:rsid w:val="0040005C"/>
    <w:rsid w:val="004001FF"/>
    <w:rsid w:val="00402182"/>
    <w:rsid w:val="004026DA"/>
    <w:rsid w:val="00402C52"/>
    <w:rsid w:val="00406758"/>
    <w:rsid w:val="00406F33"/>
    <w:rsid w:val="004153EF"/>
    <w:rsid w:val="004160C0"/>
    <w:rsid w:val="004167BD"/>
    <w:rsid w:val="00417FCC"/>
    <w:rsid w:val="00420636"/>
    <w:rsid w:val="0042133B"/>
    <w:rsid w:val="0042241C"/>
    <w:rsid w:val="00422A38"/>
    <w:rsid w:val="00424CFD"/>
    <w:rsid w:val="004250C5"/>
    <w:rsid w:val="0043043C"/>
    <w:rsid w:val="00436C1D"/>
    <w:rsid w:val="00437D6E"/>
    <w:rsid w:val="00443B52"/>
    <w:rsid w:val="0044491D"/>
    <w:rsid w:val="004462B9"/>
    <w:rsid w:val="004469E9"/>
    <w:rsid w:val="00454025"/>
    <w:rsid w:val="00460B8C"/>
    <w:rsid w:val="00463289"/>
    <w:rsid w:val="004658DC"/>
    <w:rsid w:val="00466307"/>
    <w:rsid w:val="004674EA"/>
    <w:rsid w:val="00467960"/>
    <w:rsid w:val="00471F51"/>
    <w:rsid w:val="00472BDB"/>
    <w:rsid w:val="0047431A"/>
    <w:rsid w:val="00476703"/>
    <w:rsid w:val="004777E9"/>
    <w:rsid w:val="004805D2"/>
    <w:rsid w:val="00480D13"/>
    <w:rsid w:val="00482105"/>
    <w:rsid w:val="00484C67"/>
    <w:rsid w:val="00490F5A"/>
    <w:rsid w:val="00492837"/>
    <w:rsid w:val="00493015"/>
    <w:rsid w:val="00493AA7"/>
    <w:rsid w:val="00495F95"/>
    <w:rsid w:val="00496A99"/>
    <w:rsid w:val="004A0553"/>
    <w:rsid w:val="004A09C6"/>
    <w:rsid w:val="004A0E60"/>
    <w:rsid w:val="004A1469"/>
    <w:rsid w:val="004A658C"/>
    <w:rsid w:val="004B0C1B"/>
    <w:rsid w:val="004B1CE4"/>
    <w:rsid w:val="004B2640"/>
    <w:rsid w:val="004B4E94"/>
    <w:rsid w:val="004B7613"/>
    <w:rsid w:val="004C2E51"/>
    <w:rsid w:val="004C37A9"/>
    <w:rsid w:val="004C3AA5"/>
    <w:rsid w:val="004C45E0"/>
    <w:rsid w:val="004C4773"/>
    <w:rsid w:val="004C535F"/>
    <w:rsid w:val="004D4686"/>
    <w:rsid w:val="004D4D69"/>
    <w:rsid w:val="004D4DBD"/>
    <w:rsid w:val="004D525F"/>
    <w:rsid w:val="004D6B9D"/>
    <w:rsid w:val="004E049A"/>
    <w:rsid w:val="004E0960"/>
    <w:rsid w:val="004E0D7A"/>
    <w:rsid w:val="004E3C94"/>
    <w:rsid w:val="004E3E03"/>
    <w:rsid w:val="004E4016"/>
    <w:rsid w:val="004E413C"/>
    <w:rsid w:val="004E58AD"/>
    <w:rsid w:val="004F0695"/>
    <w:rsid w:val="004F0BCF"/>
    <w:rsid w:val="004F123E"/>
    <w:rsid w:val="004F1915"/>
    <w:rsid w:val="004F1A5F"/>
    <w:rsid w:val="004F1AE1"/>
    <w:rsid w:val="004F2A48"/>
    <w:rsid w:val="004F4170"/>
    <w:rsid w:val="004F4E1D"/>
    <w:rsid w:val="004F7817"/>
    <w:rsid w:val="004F7B34"/>
    <w:rsid w:val="005007A9"/>
    <w:rsid w:val="00501EB8"/>
    <w:rsid w:val="00502B75"/>
    <w:rsid w:val="00503CB0"/>
    <w:rsid w:val="00504DF7"/>
    <w:rsid w:val="00507CA5"/>
    <w:rsid w:val="00510AA0"/>
    <w:rsid w:val="00511EC6"/>
    <w:rsid w:val="00512C3D"/>
    <w:rsid w:val="00517DC6"/>
    <w:rsid w:val="00520ABA"/>
    <w:rsid w:val="00527F32"/>
    <w:rsid w:val="00530C2E"/>
    <w:rsid w:val="00531536"/>
    <w:rsid w:val="005327FA"/>
    <w:rsid w:val="00532EA0"/>
    <w:rsid w:val="00533272"/>
    <w:rsid w:val="00533F8B"/>
    <w:rsid w:val="0053528F"/>
    <w:rsid w:val="005361A1"/>
    <w:rsid w:val="0053687C"/>
    <w:rsid w:val="00537F87"/>
    <w:rsid w:val="005414B7"/>
    <w:rsid w:val="0054198A"/>
    <w:rsid w:val="0054382A"/>
    <w:rsid w:val="00545474"/>
    <w:rsid w:val="005462B8"/>
    <w:rsid w:val="00550888"/>
    <w:rsid w:val="00550F92"/>
    <w:rsid w:val="00555B33"/>
    <w:rsid w:val="0055699C"/>
    <w:rsid w:val="005578DF"/>
    <w:rsid w:val="0056152E"/>
    <w:rsid w:val="005620EF"/>
    <w:rsid w:val="00563E92"/>
    <w:rsid w:val="005649FE"/>
    <w:rsid w:val="005651E3"/>
    <w:rsid w:val="005664F3"/>
    <w:rsid w:val="00567C0E"/>
    <w:rsid w:val="00572717"/>
    <w:rsid w:val="0057428F"/>
    <w:rsid w:val="005747EC"/>
    <w:rsid w:val="005757FB"/>
    <w:rsid w:val="00580ADE"/>
    <w:rsid w:val="00583EF4"/>
    <w:rsid w:val="00586B18"/>
    <w:rsid w:val="005905E7"/>
    <w:rsid w:val="00590E46"/>
    <w:rsid w:val="005934B8"/>
    <w:rsid w:val="005941CB"/>
    <w:rsid w:val="0059544B"/>
    <w:rsid w:val="005A3718"/>
    <w:rsid w:val="005A64A7"/>
    <w:rsid w:val="005A6760"/>
    <w:rsid w:val="005A7094"/>
    <w:rsid w:val="005A77AC"/>
    <w:rsid w:val="005B2C77"/>
    <w:rsid w:val="005B3494"/>
    <w:rsid w:val="005B4B83"/>
    <w:rsid w:val="005B4D23"/>
    <w:rsid w:val="005B6DDE"/>
    <w:rsid w:val="005C05E6"/>
    <w:rsid w:val="005C089C"/>
    <w:rsid w:val="005C0B8A"/>
    <w:rsid w:val="005C3403"/>
    <w:rsid w:val="005C4FCC"/>
    <w:rsid w:val="005C7E88"/>
    <w:rsid w:val="005D0272"/>
    <w:rsid w:val="005D4604"/>
    <w:rsid w:val="005D5EE9"/>
    <w:rsid w:val="005E030A"/>
    <w:rsid w:val="005E0690"/>
    <w:rsid w:val="005E1096"/>
    <w:rsid w:val="005E290E"/>
    <w:rsid w:val="005E4FA1"/>
    <w:rsid w:val="005E6C97"/>
    <w:rsid w:val="005F2A34"/>
    <w:rsid w:val="005F611C"/>
    <w:rsid w:val="00601C01"/>
    <w:rsid w:val="00606BCF"/>
    <w:rsid w:val="00607466"/>
    <w:rsid w:val="00607C28"/>
    <w:rsid w:val="00613BD7"/>
    <w:rsid w:val="006140D3"/>
    <w:rsid w:val="0061506D"/>
    <w:rsid w:val="0061769A"/>
    <w:rsid w:val="00617DA9"/>
    <w:rsid w:val="00617F0E"/>
    <w:rsid w:val="00621C20"/>
    <w:rsid w:val="0062243B"/>
    <w:rsid w:val="006239F1"/>
    <w:rsid w:val="00626DFB"/>
    <w:rsid w:val="00627260"/>
    <w:rsid w:val="00627E5E"/>
    <w:rsid w:val="00630D68"/>
    <w:rsid w:val="00631BF3"/>
    <w:rsid w:val="00632023"/>
    <w:rsid w:val="00632F0D"/>
    <w:rsid w:val="006346C7"/>
    <w:rsid w:val="00634BE0"/>
    <w:rsid w:val="0063653B"/>
    <w:rsid w:val="00641683"/>
    <w:rsid w:val="00642134"/>
    <w:rsid w:val="00642942"/>
    <w:rsid w:val="006429CE"/>
    <w:rsid w:val="006438C3"/>
    <w:rsid w:val="00643D16"/>
    <w:rsid w:val="006446E0"/>
    <w:rsid w:val="00646956"/>
    <w:rsid w:val="0064756B"/>
    <w:rsid w:val="00651B9E"/>
    <w:rsid w:val="00652CA4"/>
    <w:rsid w:val="0065466A"/>
    <w:rsid w:val="006566BB"/>
    <w:rsid w:val="00661084"/>
    <w:rsid w:val="006616E4"/>
    <w:rsid w:val="00664057"/>
    <w:rsid w:val="00667FE5"/>
    <w:rsid w:val="00670657"/>
    <w:rsid w:val="00671229"/>
    <w:rsid w:val="006727C7"/>
    <w:rsid w:val="00673692"/>
    <w:rsid w:val="00674D20"/>
    <w:rsid w:val="00675157"/>
    <w:rsid w:val="00677652"/>
    <w:rsid w:val="0068151D"/>
    <w:rsid w:val="00682456"/>
    <w:rsid w:val="006829D1"/>
    <w:rsid w:val="00694034"/>
    <w:rsid w:val="0069454B"/>
    <w:rsid w:val="00697CAB"/>
    <w:rsid w:val="00697E59"/>
    <w:rsid w:val="006A1D71"/>
    <w:rsid w:val="006A2A63"/>
    <w:rsid w:val="006A3AB2"/>
    <w:rsid w:val="006A5B2A"/>
    <w:rsid w:val="006B174A"/>
    <w:rsid w:val="006B246B"/>
    <w:rsid w:val="006B24D0"/>
    <w:rsid w:val="006B3BD6"/>
    <w:rsid w:val="006B56B4"/>
    <w:rsid w:val="006B6205"/>
    <w:rsid w:val="006B6DD5"/>
    <w:rsid w:val="006B7F1B"/>
    <w:rsid w:val="006B7F83"/>
    <w:rsid w:val="006C1B61"/>
    <w:rsid w:val="006C40DA"/>
    <w:rsid w:val="006C4123"/>
    <w:rsid w:val="006C6F9D"/>
    <w:rsid w:val="006D08DD"/>
    <w:rsid w:val="006D0EC0"/>
    <w:rsid w:val="006D1BC7"/>
    <w:rsid w:val="006D2309"/>
    <w:rsid w:val="006D3A18"/>
    <w:rsid w:val="006D459C"/>
    <w:rsid w:val="006D5DC1"/>
    <w:rsid w:val="006D6ADE"/>
    <w:rsid w:val="006D6E48"/>
    <w:rsid w:val="006E12FD"/>
    <w:rsid w:val="006E27BC"/>
    <w:rsid w:val="006E28AF"/>
    <w:rsid w:val="006F3033"/>
    <w:rsid w:val="006F30A7"/>
    <w:rsid w:val="006F3B04"/>
    <w:rsid w:val="006F5CB7"/>
    <w:rsid w:val="006F6D83"/>
    <w:rsid w:val="0070161F"/>
    <w:rsid w:val="007027A0"/>
    <w:rsid w:val="00703778"/>
    <w:rsid w:val="00703CF6"/>
    <w:rsid w:val="00706353"/>
    <w:rsid w:val="00707224"/>
    <w:rsid w:val="00710B77"/>
    <w:rsid w:val="00712A86"/>
    <w:rsid w:val="00713639"/>
    <w:rsid w:val="00714019"/>
    <w:rsid w:val="00715125"/>
    <w:rsid w:val="007162F7"/>
    <w:rsid w:val="007170C4"/>
    <w:rsid w:val="0071716B"/>
    <w:rsid w:val="00717415"/>
    <w:rsid w:val="00717FB4"/>
    <w:rsid w:val="0072164F"/>
    <w:rsid w:val="00722076"/>
    <w:rsid w:val="00722294"/>
    <w:rsid w:val="00722E97"/>
    <w:rsid w:val="007247CD"/>
    <w:rsid w:val="00725294"/>
    <w:rsid w:val="00730D9F"/>
    <w:rsid w:val="00731079"/>
    <w:rsid w:val="00733D4C"/>
    <w:rsid w:val="00736296"/>
    <w:rsid w:val="00740E69"/>
    <w:rsid w:val="00741ECE"/>
    <w:rsid w:val="007440FB"/>
    <w:rsid w:val="00747DD2"/>
    <w:rsid w:val="007504CE"/>
    <w:rsid w:val="007527ED"/>
    <w:rsid w:val="0075574B"/>
    <w:rsid w:val="00756252"/>
    <w:rsid w:val="00760703"/>
    <w:rsid w:val="00760A57"/>
    <w:rsid w:val="00761B8C"/>
    <w:rsid w:val="00761F4B"/>
    <w:rsid w:val="0076293B"/>
    <w:rsid w:val="007647DE"/>
    <w:rsid w:val="00766048"/>
    <w:rsid w:val="007679FD"/>
    <w:rsid w:val="00767DF6"/>
    <w:rsid w:val="00770006"/>
    <w:rsid w:val="0077276F"/>
    <w:rsid w:val="00774AD4"/>
    <w:rsid w:val="00776ADD"/>
    <w:rsid w:val="00776B95"/>
    <w:rsid w:val="0077783B"/>
    <w:rsid w:val="007809E8"/>
    <w:rsid w:val="0078127D"/>
    <w:rsid w:val="00784B9F"/>
    <w:rsid w:val="0078540B"/>
    <w:rsid w:val="00786836"/>
    <w:rsid w:val="007909DE"/>
    <w:rsid w:val="00793C3D"/>
    <w:rsid w:val="00797D64"/>
    <w:rsid w:val="00797F23"/>
    <w:rsid w:val="007A4BCC"/>
    <w:rsid w:val="007A611D"/>
    <w:rsid w:val="007B1BA0"/>
    <w:rsid w:val="007B1CE7"/>
    <w:rsid w:val="007B2CDA"/>
    <w:rsid w:val="007B7173"/>
    <w:rsid w:val="007C0EDC"/>
    <w:rsid w:val="007C22B1"/>
    <w:rsid w:val="007C33B2"/>
    <w:rsid w:val="007C6551"/>
    <w:rsid w:val="007C7406"/>
    <w:rsid w:val="007D0068"/>
    <w:rsid w:val="007D1C51"/>
    <w:rsid w:val="007D3379"/>
    <w:rsid w:val="007D40B7"/>
    <w:rsid w:val="007D4937"/>
    <w:rsid w:val="007E2AAA"/>
    <w:rsid w:val="007E36D1"/>
    <w:rsid w:val="007E42DE"/>
    <w:rsid w:val="007E5756"/>
    <w:rsid w:val="007F2030"/>
    <w:rsid w:val="007F385D"/>
    <w:rsid w:val="007F7A00"/>
    <w:rsid w:val="00805144"/>
    <w:rsid w:val="00805E83"/>
    <w:rsid w:val="0080620C"/>
    <w:rsid w:val="008069B8"/>
    <w:rsid w:val="00807482"/>
    <w:rsid w:val="00807AF8"/>
    <w:rsid w:val="00810062"/>
    <w:rsid w:val="00813603"/>
    <w:rsid w:val="00815A7C"/>
    <w:rsid w:val="00817040"/>
    <w:rsid w:val="008176EE"/>
    <w:rsid w:val="00821C28"/>
    <w:rsid w:val="008223EA"/>
    <w:rsid w:val="00824776"/>
    <w:rsid w:val="00824986"/>
    <w:rsid w:val="008263A9"/>
    <w:rsid w:val="008313CF"/>
    <w:rsid w:val="00831555"/>
    <w:rsid w:val="0083364B"/>
    <w:rsid w:val="00834825"/>
    <w:rsid w:val="008364AF"/>
    <w:rsid w:val="008367A7"/>
    <w:rsid w:val="00836B81"/>
    <w:rsid w:val="00836E96"/>
    <w:rsid w:val="00837ABE"/>
    <w:rsid w:val="00837F18"/>
    <w:rsid w:val="0084677B"/>
    <w:rsid w:val="008472D2"/>
    <w:rsid w:val="00847B38"/>
    <w:rsid w:val="00850C76"/>
    <w:rsid w:val="00851BEB"/>
    <w:rsid w:val="00852646"/>
    <w:rsid w:val="00857D12"/>
    <w:rsid w:val="00861041"/>
    <w:rsid w:val="00861C54"/>
    <w:rsid w:val="00862680"/>
    <w:rsid w:val="008628C1"/>
    <w:rsid w:val="00866638"/>
    <w:rsid w:val="00867886"/>
    <w:rsid w:val="00872855"/>
    <w:rsid w:val="00873626"/>
    <w:rsid w:val="00886777"/>
    <w:rsid w:val="0088765B"/>
    <w:rsid w:val="00891E0D"/>
    <w:rsid w:val="008931C9"/>
    <w:rsid w:val="0089626C"/>
    <w:rsid w:val="008A1E5E"/>
    <w:rsid w:val="008A2493"/>
    <w:rsid w:val="008A2517"/>
    <w:rsid w:val="008A3EFF"/>
    <w:rsid w:val="008A59D9"/>
    <w:rsid w:val="008B0286"/>
    <w:rsid w:val="008B1C9A"/>
    <w:rsid w:val="008B3114"/>
    <w:rsid w:val="008B354F"/>
    <w:rsid w:val="008B7883"/>
    <w:rsid w:val="008B7BE8"/>
    <w:rsid w:val="008C0E40"/>
    <w:rsid w:val="008C183C"/>
    <w:rsid w:val="008C35AA"/>
    <w:rsid w:val="008C4EEA"/>
    <w:rsid w:val="008C54E3"/>
    <w:rsid w:val="008C5F63"/>
    <w:rsid w:val="008D1109"/>
    <w:rsid w:val="008D1541"/>
    <w:rsid w:val="008D166B"/>
    <w:rsid w:val="008D3DE9"/>
    <w:rsid w:val="008D4AF3"/>
    <w:rsid w:val="008D60A4"/>
    <w:rsid w:val="008D7D16"/>
    <w:rsid w:val="008E0370"/>
    <w:rsid w:val="008E2D0E"/>
    <w:rsid w:val="008E3939"/>
    <w:rsid w:val="008F1AB5"/>
    <w:rsid w:val="008F1EC1"/>
    <w:rsid w:val="008F22ED"/>
    <w:rsid w:val="008F522F"/>
    <w:rsid w:val="008F610B"/>
    <w:rsid w:val="0090193B"/>
    <w:rsid w:val="009028D2"/>
    <w:rsid w:val="00903058"/>
    <w:rsid w:val="009036FB"/>
    <w:rsid w:val="00904FE1"/>
    <w:rsid w:val="00907514"/>
    <w:rsid w:val="009105A3"/>
    <w:rsid w:val="009114E2"/>
    <w:rsid w:val="0091264A"/>
    <w:rsid w:val="0091425F"/>
    <w:rsid w:val="009142D8"/>
    <w:rsid w:val="00914F2E"/>
    <w:rsid w:val="009205CF"/>
    <w:rsid w:val="00921314"/>
    <w:rsid w:val="00922F3E"/>
    <w:rsid w:val="00923304"/>
    <w:rsid w:val="0092437C"/>
    <w:rsid w:val="009304A4"/>
    <w:rsid w:val="00936CB6"/>
    <w:rsid w:val="00937AD0"/>
    <w:rsid w:val="00937C8B"/>
    <w:rsid w:val="0094276E"/>
    <w:rsid w:val="00942F90"/>
    <w:rsid w:val="0094489F"/>
    <w:rsid w:val="00945AF7"/>
    <w:rsid w:val="009505C3"/>
    <w:rsid w:val="00952708"/>
    <w:rsid w:val="00953296"/>
    <w:rsid w:val="00953D79"/>
    <w:rsid w:val="00954AF9"/>
    <w:rsid w:val="009571E6"/>
    <w:rsid w:val="00961C10"/>
    <w:rsid w:val="00966C08"/>
    <w:rsid w:val="00967D41"/>
    <w:rsid w:val="00970166"/>
    <w:rsid w:val="00973D74"/>
    <w:rsid w:val="00974248"/>
    <w:rsid w:val="00974696"/>
    <w:rsid w:val="009760CA"/>
    <w:rsid w:val="00977337"/>
    <w:rsid w:val="0097737F"/>
    <w:rsid w:val="00984E03"/>
    <w:rsid w:val="00985FC8"/>
    <w:rsid w:val="00990E90"/>
    <w:rsid w:val="009912CB"/>
    <w:rsid w:val="009923DC"/>
    <w:rsid w:val="00995890"/>
    <w:rsid w:val="00997D02"/>
    <w:rsid w:val="009A0F28"/>
    <w:rsid w:val="009A12E3"/>
    <w:rsid w:val="009A21D9"/>
    <w:rsid w:val="009A2943"/>
    <w:rsid w:val="009A2FB3"/>
    <w:rsid w:val="009A3B8A"/>
    <w:rsid w:val="009A4A9F"/>
    <w:rsid w:val="009B04DB"/>
    <w:rsid w:val="009B133F"/>
    <w:rsid w:val="009B2344"/>
    <w:rsid w:val="009B38B3"/>
    <w:rsid w:val="009B4861"/>
    <w:rsid w:val="009B7CB4"/>
    <w:rsid w:val="009C06C8"/>
    <w:rsid w:val="009C109D"/>
    <w:rsid w:val="009C33FD"/>
    <w:rsid w:val="009D00CE"/>
    <w:rsid w:val="009D06B3"/>
    <w:rsid w:val="009D4441"/>
    <w:rsid w:val="009D4655"/>
    <w:rsid w:val="009D571D"/>
    <w:rsid w:val="009D6A98"/>
    <w:rsid w:val="009D6DEB"/>
    <w:rsid w:val="009E2835"/>
    <w:rsid w:val="009E2CF4"/>
    <w:rsid w:val="009E4345"/>
    <w:rsid w:val="009E4B8F"/>
    <w:rsid w:val="009E51FC"/>
    <w:rsid w:val="009E6B8D"/>
    <w:rsid w:val="009F56A8"/>
    <w:rsid w:val="00A004E3"/>
    <w:rsid w:val="00A0075F"/>
    <w:rsid w:val="00A01448"/>
    <w:rsid w:val="00A01767"/>
    <w:rsid w:val="00A07049"/>
    <w:rsid w:val="00A079C4"/>
    <w:rsid w:val="00A1182C"/>
    <w:rsid w:val="00A14923"/>
    <w:rsid w:val="00A155E7"/>
    <w:rsid w:val="00A15709"/>
    <w:rsid w:val="00A24727"/>
    <w:rsid w:val="00A35912"/>
    <w:rsid w:val="00A35F8B"/>
    <w:rsid w:val="00A36B67"/>
    <w:rsid w:val="00A409D2"/>
    <w:rsid w:val="00A40CCB"/>
    <w:rsid w:val="00A41599"/>
    <w:rsid w:val="00A43989"/>
    <w:rsid w:val="00A43E8B"/>
    <w:rsid w:val="00A440EB"/>
    <w:rsid w:val="00A46492"/>
    <w:rsid w:val="00A46D88"/>
    <w:rsid w:val="00A470B9"/>
    <w:rsid w:val="00A47C8F"/>
    <w:rsid w:val="00A51F04"/>
    <w:rsid w:val="00A5267C"/>
    <w:rsid w:val="00A556EF"/>
    <w:rsid w:val="00A56726"/>
    <w:rsid w:val="00A577D3"/>
    <w:rsid w:val="00A60559"/>
    <w:rsid w:val="00A60806"/>
    <w:rsid w:val="00A62919"/>
    <w:rsid w:val="00A63B07"/>
    <w:rsid w:val="00A63DCA"/>
    <w:rsid w:val="00A641AA"/>
    <w:rsid w:val="00A64B2C"/>
    <w:rsid w:val="00A652A1"/>
    <w:rsid w:val="00A657EE"/>
    <w:rsid w:val="00A6731D"/>
    <w:rsid w:val="00A7279E"/>
    <w:rsid w:val="00A74147"/>
    <w:rsid w:val="00A75B5E"/>
    <w:rsid w:val="00A77B5A"/>
    <w:rsid w:val="00A80BEE"/>
    <w:rsid w:val="00A82AB7"/>
    <w:rsid w:val="00A8342C"/>
    <w:rsid w:val="00A844AC"/>
    <w:rsid w:val="00A847EA"/>
    <w:rsid w:val="00A8606C"/>
    <w:rsid w:val="00A941D8"/>
    <w:rsid w:val="00A95CD1"/>
    <w:rsid w:val="00A95CFA"/>
    <w:rsid w:val="00A9624F"/>
    <w:rsid w:val="00A96C3E"/>
    <w:rsid w:val="00A97526"/>
    <w:rsid w:val="00AA1BC2"/>
    <w:rsid w:val="00AA517A"/>
    <w:rsid w:val="00AA5874"/>
    <w:rsid w:val="00AA7567"/>
    <w:rsid w:val="00AB0613"/>
    <w:rsid w:val="00AB2411"/>
    <w:rsid w:val="00AB5A69"/>
    <w:rsid w:val="00AB6978"/>
    <w:rsid w:val="00AC383F"/>
    <w:rsid w:val="00AC4B2A"/>
    <w:rsid w:val="00AC692B"/>
    <w:rsid w:val="00AD37FE"/>
    <w:rsid w:val="00AD607D"/>
    <w:rsid w:val="00AE158D"/>
    <w:rsid w:val="00AE1C62"/>
    <w:rsid w:val="00AE2B6E"/>
    <w:rsid w:val="00AE2E8E"/>
    <w:rsid w:val="00AE38D1"/>
    <w:rsid w:val="00AE45DE"/>
    <w:rsid w:val="00AF05FA"/>
    <w:rsid w:val="00AF1B85"/>
    <w:rsid w:val="00AF2092"/>
    <w:rsid w:val="00AF22FA"/>
    <w:rsid w:val="00AF3542"/>
    <w:rsid w:val="00AF61F0"/>
    <w:rsid w:val="00AF6C1E"/>
    <w:rsid w:val="00AF72BD"/>
    <w:rsid w:val="00B01C07"/>
    <w:rsid w:val="00B061F5"/>
    <w:rsid w:val="00B06AEE"/>
    <w:rsid w:val="00B06F62"/>
    <w:rsid w:val="00B128D3"/>
    <w:rsid w:val="00B139E5"/>
    <w:rsid w:val="00B21733"/>
    <w:rsid w:val="00B217F8"/>
    <w:rsid w:val="00B26483"/>
    <w:rsid w:val="00B2695D"/>
    <w:rsid w:val="00B30CA4"/>
    <w:rsid w:val="00B34A2F"/>
    <w:rsid w:val="00B352D4"/>
    <w:rsid w:val="00B36146"/>
    <w:rsid w:val="00B36647"/>
    <w:rsid w:val="00B370E9"/>
    <w:rsid w:val="00B378B1"/>
    <w:rsid w:val="00B40601"/>
    <w:rsid w:val="00B40619"/>
    <w:rsid w:val="00B410F0"/>
    <w:rsid w:val="00B46FFF"/>
    <w:rsid w:val="00B47FC3"/>
    <w:rsid w:val="00B506ED"/>
    <w:rsid w:val="00B517DD"/>
    <w:rsid w:val="00B53B9A"/>
    <w:rsid w:val="00B54ABE"/>
    <w:rsid w:val="00B554AA"/>
    <w:rsid w:val="00B56A1D"/>
    <w:rsid w:val="00B62071"/>
    <w:rsid w:val="00B631ED"/>
    <w:rsid w:val="00B63B67"/>
    <w:rsid w:val="00B63F73"/>
    <w:rsid w:val="00B65978"/>
    <w:rsid w:val="00B65E57"/>
    <w:rsid w:val="00B67E9F"/>
    <w:rsid w:val="00B71326"/>
    <w:rsid w:val="00B72154"/>
    <w:rsid w:val="00B72AB4"/>
    <w:rsid w:val="00B7480B"/>
    <w:rsid w:val="00B77F1F"/>
    <w:rsid w:val="00B84FCD"/>
    <w:rsid w:val="00B85733"/>
    <w:rsid w:val="00B90036"/>
    <w:rsid w:val="00B90F1B"/>
    <w:rsid w:val="00B9127A"/>
    <w:rsid w:val="00B93901"/>
    <w:rsid w:val="00B9400A"/>
    <w:rsid w:val="00B9494E"/>
    <w:rsid w:val="00B97804"/>
    <w:rsid w:val="00BA2938"/>
    <w:rsid w:val="00BA4BD4"/>
    <w:rsid w:val="00BA7C91"/>
    <w:rsid w:val="00BB0761"/>
    <w:rsid w:val="00BB245A"/>
    <w:rsid w:val="00BB59D1"/>
    <w:rsid w:val="00BB60A4"/>
    <w:rsid w:val="00BB643B"/>
    <w:rsid w:val="00BB7F3F"/>
    <w:rsid w:val="00BC2218"/>
    <w:rsid w:val="00BC33FD"/>
    <w:rsid w:val="00BC3573"/>
    <w:rsid w:val="00BC54D5"/>
    <w:rsid w:val="00BC6B9B"/>
    <w:rsid w:val="00BC6EB7"/>
    <w:rsid w:val="00BC7E32"/>
    <w:rsid w:val="00BD0132"/>
    <w:rsid w:val="00BD0B94"/>
    <w:rsid w:val="00BD113F"/>
    <w:rsid w:val="00BD2207"/>
    <w:rsid w:val="00BD3C62"/>
    <w:rsid w:val="00BD52DA"/>
    <w:rsid w:val="00BD7A0B"/>
    <w:rsid w:val="00BD7B6B"/>
    <w:rsid w:val="00BE000F"/>
    <w:rsid w:val="00BE1539"/>
    <w:rsid w:val="00BE183E"/>
    <w:rsid w:val="00BE1E7F"/>
    <w:rsid w:val="00BE4304"/>
    <w:rsid w:val="00BE52F2"/>
    <w:rsid w:val="00BE5B1F"/>
    <w:rsid w:val="00BE5D48"/>
    <w:rsid w:val="00BF461E"/>
    <w:rsid w:val="00BF476F"/>
    <w:rsid w:val="00BF58DE"/>
    <w:rsid w:val="00BF58E0"/>
    <w:rsid w:val="00BF5EB9"/>
    <w:rsid w:val="00BF5F2F"/>
    <w:rsid w:val="00C00470"/>
    <w:rsid w:val="00C010DC"/>
    <w:rsid w:val="00C043AC"/>
    <w:rsid w:val="00C04A83"/>
    <w:rsid w:val="00C04DE9"/>
    <w:rsid w:val="00C05305"/>
    <w:rsid w:val="00C059DC"/>
    <w:rsid w:val="00C06F3D"/>
    <w:rsid w:val="00C1090C"/>
    <w:rsid w:val="00C13C0D"/>
    <w:rsid w:val="00C14C83"/>
    <w:rsid w:val="00C155F3"/>
    <w:rsid w:val="00C1677F"/>
    <w:rsid w:val="00C20B44"/>
    <w:rsid w:val="00C21794"/>
    <w:rsid w:val="00C23A05"/>
    <w:rsid w:val="00C26846"/>
    <w:rsid w:val="00C30C5B"/>
    <w:rsid w:val="00C31430"/>
    <w:rsid w:val="00C31730"/>
    <w:rsid w:val="00C31A3D"/>
    <w:rsid w:val="00C31AFA"/>
    <w:rsid w:val="00C32F6F"/>
    <w:rsid w:val="00C339F2"/>
    <w:rsid w:val="00C33ABD"/>
    <w:rsid w:val="00C4028D"/>
    <w:rsid w:val="00C411BA"/>
    <w:rsid w:val="00C43D77"/>
    <w:rsid w:val="00C45C9D"/>
    <w:rsid w:val="00C47DAD"/>
    <w:rsid w:val="00C503B2"/>
    <w:rsid w:val="00C5066F"/>
    <w:rsid w:val="00C51351"/>
    <w:rsid w:val="00C5340D"/>
    <w:rsid w:val="00C5599E"/>
    <w:rsid w:val="00C60666"/>
    <w:rsid w:val="00C63207"/>
    <w:rsid w:val="00C6381B"/>
    <w:rsid w:val="00C64213"/>
    <w:rsid w:val="00C64748"/>
    <w:rsid w:val="00C657BC"/>
    <w:rsid w:val="00C67521"/>
    <w:rsid w:val="00C7270C"/>
    <w:rsid w:val="00C740A7"/>
    <w:rsid w:val="00C74B3B"/>
    <w:rsid w:val="00C756BD"/>
    <w:rsid w:val="00C75ADD"/>
    <w:rsid w:val="00C81B08"/>
    <w:rsid w:val="00C9063B"/>
    <w:rsid w:val="00C90DE3"/>
    <w:rsid w:val="00C90E8B"/>
    <w:rsid w:val="00C913FA"/>
    <w:rsid w:val="00C92463"/>
    <w:rsid w:val="00C9297E"/>
    <w:rsid w:val="00C92EDD"/>
    <w:rsid w:val="00C9309A"/>
    <w:rsid w:val="00C97754"/>
    <w:rsid w:val="00C97C62"/>
    <w:rsid w:val="00CA1068"/>
    <w:rsid w:val="00CA1D91"/>
    <w:rsid w:val="00CA21EA"/>
    <w:rsid w:val="00CA4BD4"/>
    <w:rsid w:val="00CA52B1"/>
    <w:rsid w:val="00CA6E77"/>
    <w:rsid w:val="00CA7807"/>
    <w:rsid w:val="00CB1047"/>
    <w:rsid w:val="00CB79CD"/>
    <w:rsid w:val="00CB7CA2"/>
    <w:rsid w:val="00CC1A84"/>
    <w:rsid w:val="00CC1DA0"/>
    <w:rsid w:val="00CC410A"/>
    <w:rsid w:val="00CC4874"/>
    <w:rsid w:val="00CC7DFC"/>
    <w:rsid w:val="00CD0589"/>
    <w:rsid w:val="00CD080A"/>
    <w:rsid w:val="00CD2B00"/>
    <w:rsid w:val="00CD3641"/>
    <w:rsid w:val="00CD5AC9"/>
    <w:rsid w:val="00CD6068"/>
    <w:rsid w:val="00CE0EFC"/>
    <w:rsid w:val="00CE139B"/>
    <w:rsid w:val="00CE1851"/>
    <w:rsid w:val="00CE3A75"/>
    <w:rsid w:val="00CE530B"/>
    <w:rsid w:val="00CE5345"/>
    <w:rsid w:val="00CE7868"/>
    <w:rsid w:val="00CF6009"/>
    <w:rsid w:val="00CF6815"/>
    <w:rsid w:val="00D0180C"/>
    <w:rsid w:val="00D0396B"/>
    <w:rsid w:val="00D05D73"/>
    <w:rsid w:val="00D073B4"/>
    <w:rsid w:val="00D13146"/>
    <w:rsid w:val="00D142A3"/>
    <w:rsid w:val="00D14340"/>
    <w:rsid w:val="00D16ABF"/>
    <w:rsid w:val="00D2121F"/>
    <w:rsid w:val="00D21AE6"/>
    <w:rsid w:val="00D22527"/>
    <w:rsid w:val="00D26990"/>
    <w:rsid w:val="00D27433"/>
    <w:rsid w:val="00D30322"/>
    <w:rsid w:val="00D31647"/>
    <w:rsid w:val="00D31A57"/>
    <w:rsid w:val="00D339C8"/>
    <w:rsid w:val="00D33BB7"/>
    <w:rsid w:val="00D35752"/>
    <w:rsid w:val="00D36B11"/>
    <w:rsid w:val="00D37090"/>
    <w:rsid w:val="00D41764"/>
    <w:rsid w:val="00D4206A"/>
    <w:rsid w:val="00D44277"/>
    <w:rsid w:val="00D44AAB"/>
    <w:rsid w:val="00D450FB"/>
    <w:rsid w:val="00D46C71"/>
    <w:rsid w:val="00D51387"/>
    <w:rsid w:val="00D51439"/>
    <w:rsid w:val="00D52B31"/>
    <w:rsid w:val="00D55102"/>
    <w:rsid w:val="00D5617D"/>
    <w:rsid w:val="00D563D5"/>
    <w:rsid w:val="00D61F06"/>
    <w:rsid w:val="00D63AA1"/>
    <w:rsid w:val="00D650A1"/>
    <w:rsid w:val="00D65377"/>
    <w:rsid w:val="00D654A4"/>
    <w:rsid w:val="00D66B7D"/>
    <w:rsid w:val="00D66FEA"/>
    <w:rsid w:val="00D67E12"/>
    <w:rsid w:val="00D77AA6"/>
    <w:rsid w:val="00D844B6"/>
    <w:rsid w:val="00D84981"/>
    <w:rsid w:val="00D858DA"/>
    <w:rsid w:val="00D865A1"/>
    <w:rsid w:val="00D871BB"/>
    <w:rsid w:val="00D926CC"/>
    <w:rsid w:val="00D965E4"/>
    <w:rsid w:val="00D9691F"/>
    <w:rsid w:val="00D96BD2"/>
    <w:rsid w:val="00D96DFE"/>
    <w:rsid w:val="00D9765D"/>
    <w:rsid w:val="00DA2B81"/>
    <w:rsid w:val="00DA46C2"/>
    <w:rsid w:val="00DA7108"/>
    <w:rsid w:val="00DB0267"/>
    <w:rsid w:val="00DB2080"/>
    <w:rsid w:val="00DB2849"/>
    <w:rsid w:val="00DB6448"/>
    <w:rsid w:val="00DC2366"/>
    <w:rsid w:val="00DC337B"/>
    <w:rsid w:val="00DC402B"/>
    <w:rsid w:val="00DC5CAC"/>
    <w:rsid w:val="00DD3D19"/>
    <w:rsid w:val="00DD5EFE"/>
    <w:rsid w:val="00DD64F0"/>
    <w:rsid w:val="00DD67E3"/>
    <w:rsid w:val="00DE0CFC"/>
    <w:rsid w:val="00DE104A"/>
    <w:rsid w:val="00DE1A2C"/>
    <w:rsid w:val="00DE2D11"/>
    <w:rsid w:val="00DE5337"/>
    <w:rsid w:val="00DE6CDC"/>
    <w:rsid w:val="00DE70F8"/>
    <w:rsid w:val="00DF2205"/>
    <w:rsid w:val="00DF3BA2"/>
    <w:rsid w:val="00DF434D"/>
    <w:rsid w:val="00DF58AE"/>
    <w:rsid w:val="00DF6A19"/>
    <w:rsid w:val="00DF6A4E"/>
    <w:rsid w:val="00DF795D"/>
    <w:rsid w:val="00E0445D"/>
    <w:rsid w:val="00E045BC"/>
    <w:rsid w:val="00E052F6"/>
    <w:rsid w:val="00E07B3A"/>
    <w:rsid w:val="00E1150F"/>
    <w:rsid w:val="00E13BE0"/>
    <w:rsid w:val="00E17BC2"/>
    <w:rsid w:val="00E17FCC"/>
    <w:rsid w:val="00E22ED0"/>
    <w:rsid w:val="00E255BE"/>
    <w:rsid w:val="00E33B8B"/>
    <w:rsid w:val="00E34AD6"/>
    <w:rsid w:val="00E365A8"/>
    <w:rsid w:val="00E40952"/>
    <w:rsid w:val="00E45109"/>
    <w:rsid w:val="00E45741"/>
    <w:rsid w:val="00E61660"/>
    <w:rsid w:val="00E62421"/>
    <w:rsid w:val="00E6422D"/>
    <w:rsid w:val="00E646A7"/>
    <w:rsid w:val="00E7060B"/>
    <w:rsid w:val="00E71630"/>
    <w:rsid w:val="00E71785"/>
    <w:rsid w:val="00E71C67"/>
    <w:rsid w:val="00E723A3"/>
    <w:rsid w:val="00E75D39"/>
    <w:rsid w:val="00E774E7"/>
    <w:rsid w:val="00E80694"/>
    <w:rsid w:val="00E82186"/>
    <w:rsid w:val="00E828C4"/>
    <w:rsid w:val="00E83DAB"/>
    <w:rsid w:val="00E85333"/>
    <w:rsid w:val="00E877BC"/>
    <w:rsid w:val="00E91140"/>
    <w:rsid w:val="00E92D28"/>
    <w:rsid w:val="00E936FD"/>
    <w:rsid w:val="00E93AC1"/>
    <w:rsid w:val="00E93D33"/>
    <w:rsid w:val="00E9503E"/>
    <w:rsid w:val="00E959E4"/>
    <w:rsid w:val="00E96D06"/>
    <w:rsid w:val="00EA2696"/>
    <w:rsid w:val="00EA2D03"/>
    <w:rsid w:val="00EA382B"/>
    <w:rsid w:val="00EB0B75"/>
    <w:rsid w:val="00EB0CCF"/>
    <w:rsid w:val="00EB4843"/>
    <w:rsid w:val="00EB50D1"/>
    <w:rsid w:val="00EB5231"/>
    <w:rsid w:val="00EB5A1D"/>
    <w:rsid w:val="00EB5E54"/>
    <w:rsid w:val="00EB675D"/>
    <w:rsid w:val="00EC0376"/>
    <w:rsid w:val="00EC223E"/>
    <w:rsid w:val="00EC36C4"/>
    <w:rsid w:val="00EC5DA8"/>
    <w:rsid w:val="00EC6935"/>
    <w:rsid w:val="00EC7C66"/>
    <w:rsid w:val="00ED0439"/>
    <w:rsid w:val="00ED4205"/>
    <w:rsid w:val="00ED68CC"/>
    <w:rsid w:val="00ED7278"/>
    <w:rsid w:val="00EE0F34"/>
    <w:rsid w:val="00EE0F4E"/>
    <w:rsid w:val="00EE2053"/>
    <w:rsid w:val="00EE216C"/>
    <w:rsid w:val="00EE4A7C"/>
    <w:rsid w:val="00EE4AF8"/>
    <w:rsid w:val="00EE7A18"/>
    <w:rsid w:val="00EF05A4"/>
    <w:rsid w:val="00EF0886"/>
    <w:rsid w:val="00EF1A56"/>
    <w:rsid w:val="00EF1D47"/>
    <w:rsid w:val="00EF616B"/>
    <w:rsid w:val="00EF6555"/>
    <w:rsid w:val="00EF67FE"/>
    <w:rsid w:val="00EF6C66"/>
    <w:rsid w:val="00F00030"/>
    <w:rsid w:val="00F005F7"/>
    <w:rsid w:val="00F01D3B"/>
    <w:rsid w:val="00F0345F"/>
    <w:rsid w:val="00F042D8"/>
    <w:rsid w:val="00F075BB"/>
    <w:rsid w:val="00F10BD4"/>
    <w:rsid w:val="00F10CBC"/>
    <w:rsid w:val="00F12A20"/>
    <w:rsid w:val="00F139C3"/>
    <w:rsid w:val="00F15283"/>
    <w:rsid w:val="00F15DB6"/>
    <w:rsid w:val="00F16A86"/>
    <w:rsid w:val="00F20388"/>
    <w:rsid w:val="00F20C32"/>
    <w:rsid w:val="00F21DD5"/>
    <w:rsid w:val="00F237FC"/>
    <w:rsid w:val="00F317C8"/>
    <w:rsid w:val="00F31AE2"/>
    <w:rsid w:val="00F34802"/>
    <w:rsid w:val="00F3542C"/>
    <w:rsid w:val="00F356C2"/>
    <w:rsid w:val="00F36329"/>
    <w:rsid w:val="00F369BF"/>
    <w:rsid w:val="00F3744D"/>
    <w:rsid w:val="00F37973"/>
    <w:rsid w:val="00F37C5B"/>
    <w:rsid w:val="00F411EA"/>
    <w:rsid w:val="00F41EF0"/>
    <w:rsid w:val="00F43A83"/>
    <w:rsid w:val="00F471FB"/>
    <w:rsid w:val="00F5470B"/>
    <w:rsid w:val="00F54CF3"/>
    <w:rsid w:val="00F564EF"/>
    <w:rsid w:val="00F57969"/>
    <w:rsid w:val="00F6107D"/>
    <w:rsid w:val="00F6132C"/>
    <w:rsid w:val="00F622FA"/>
    <w:rsid w:val="00F62582"/>
    <w:rsid w:val="00F6312D"/>
    <w:rsid w:val="00F64034"/>
    <w:rsid w:val="00F6730C"/>
    <w:rsid w:val="00F71BD3"/>
    <w:rsid w:val="00F73144"/>
    <w:rsid w:val="00F7348D"/>
    <w:rsid w:val="00F745D0"/>
    <w:rsid w:val="00F80791"/>
    <w:rsid w:val="00F82F53"/>
    <w:rsid w:val="00F84CDD"/>
    <w:rsid w:val="00F87166"/>
    <w:rsid w:val="00F875F3"/>
    <w:rsid w:val="00F87652"/>
    <w:rsid w:val="00F87CED"/>
    <w:rsid w:val="00F90089"/>
    <w:rsid w:val="00F90788"/>
    <w:rsid w:val="00F9543D"/>
    <w:rsid w:val="00F95B27"/>
    <w:rsid w:val="00F95B33"/>
    <w:rsid w:val="00F95FF2"/>
    <w:rsid w:val="00FA124E"/>
    <w:rsid w:val="00FA78D1"/>
    <w:rsid w:val="00FA7BF1"/>
    <w:rsid w:val="00FB1FEB"/>
    <w:rsid w:val="00FB5520"/>
    <w:rsid w:val="00FB595C"/>
    <w:rsid w:val="00FB76EF"/>
    <w:rsid w:val="00FB7F0A"/>
    <w:rsid w:val="00FC0B40"/>
    <w:rsid w:val="00FC1A3A"/>
    <w:rsid w:val="00FC2948"/>
    <w:rsid w:val="00FC2DA6"/>
    <w:rsid w:val="00FC39FB"/>
    <w:rsid w:val="00FC3AFA"/>
    <w:rsid w:val="00FC4E2A"/>
    <w:rsid w:val="00FC5417"/>
    <w:rsid w:val="00FC5D9C"/>
    <w:rsid w:val="00FC5F48"/>
    <w:rsid w:val="00FD28E8"/>
    <w:rsid w:val="00FD5294"/>
    <w:rsid w:val="00FD5FB9"/>
    <w:rsid w:val="00FD66DA"/>
    <w:rsid w:val="00FD6A96"/>
    <w:rsid w:val="00FE1087"/>
    <w:rsid w:val="00FE5F69"/>
    <w:rsid w:val="00FE62D1"/>
    <w:rsid w:val="00FF308E"/>
    <w:rsid w:val="00FF5C1C"/>
    <w:rsid w:val="00FF703A"/>
    <w:rsid w:val="02FF16F9"/>
    <w:rsid w:val="044472D1"/>
    <w:rsid w:val="2E124142"/>
    <w:rsid w:val="604016A0"/>
    <w:rsid w:val="69AB4CF7"/>
    <w:rsid w:val="6D6B5F3D"/>
    <w:rsid w:val="7E262385"/>
    <w:rsid w:val="7FEF36E4"/>
    <w:rsid w:val="DD7BE7C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1C5DD"/>
  <w15:docId w15:val="{05C444F6-5F9C-4F50-988A-52C61887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qFormat="1"/>
    <w:lsdException w:name="toc 2" w:semiHidden="1" w:uiPriority="0" w:qFormat="1"/>
    <w:lsdException w:name="toc 3" w:semiHidden="1" w:uiPriority="0" w:qFormat="1"/>
    <w:lsdException w:name="toc 4" w:semiHidden="1" w:uiPriority="0" w:qFormat="1"/>
    <w:lsdException w:name="toc 5" w:semiHidden="1" w:uiPriority="0" w:qFormat="1"/>
    <w:lsdException w:name="toc 6" w:semiHidden="1" w:uiPriority="0" w:qFormat="1"/>
    <w:lsdException w:name="toc 7" w:semiHidden="1" w:uiPriority="0" w:qFormat="1"/>
    <w:lsdException w:name="toc 8" w:semiHidden="1" w:uiPriority="0" w:qFormat="1"/>
    <w:lsdException w:name="toc 9" w:semiHidden="1" w:uiPriority="0" w:qFormat="1"/>
    <w:lsdException w:name="Normal Indent" w:uiPriority="0" w:qFormat="1"/>
    <w:lsdException w:name="footnote text" w:semiHidden="1" w:unhideWhenUsed="1"/>
    <w:lsdException w:name="annotation text" w:uiPriority="0" w:qFormat="1"/>
    <w:lsdException w:name="header" w:uiPriority="0"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uiPriority="0" w:qFormat="1"/>
    <w:lsdException w:name="Block Text" w:semiHidden="1" w:unhideWhenUsed="1"/>
    <w:lsdException w:name="Hyperlink" w:uiPriority="0" w:qFormat="1"/>
    <w:lsdException w:name="FollowedHyperlink" w:semiHidden="1" w:unhideWhenUsed="1" w:qFormat="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qFormat="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New Roman" w:eastAsia="宋体" w:hAnsi="Times New Roman" w:cs="Times New Roman"/>
      <w:kern w:val="2"/>
      <w:sz w:val="21"/>
      <w:szCs w:val="24"/>
    </w:rPr>
  </w:style>
  <w:style w:type="paragraph" w:styleId="Heading2">
    <w:name w:val="heading 2"/>
    <w:basedOn w:val="Normal"/>
    <w:next w:val="NormalIndent"/>
    <w:link w:val="Heading2Char"/>
    <w:qFormat/>
    <w:pPr>
      <w:keepNext/>
      <w:keepLines/>
      <w:spacing w:before="260" w:after="260" w:line="416" w:lineRule="auto"/>
      <w:outlineLvl w:val="1"/>
    </w:pPr>
    <w:rPr>
      <w:rFonts w:ascii="Arial" w:eastAsia="黑体" w:hAnsi="Arial"/>
      <w:b/>
      <w:sz w:val="32"/>
      <w:szCs w:val="20"/>
    </w:rPr>
  </w:style>
  <w:style w:type="paragraph" w:styleId="Heading3">
    <w:name w:val="heading 3"/>
    <w:basedOn w:val="Normal"/>
    <w:next w:val="Normal"/>
    <w:link w:val="Heading3Char"/>
    <w:uiPriority w:val="9"/>
    <w:unhideWhenUsed/>
    <w:qFormat/>
    <w:pPr>
      <w:keepNext/>
      <w:keepLines/>
      <w:spacing w:before="40"/>
      <w:outlineLvl w:val="2"/>
    </w:pPr>
    <w:rPr>
      <w:rFonts w:asciiTheme="majorHAnsi" w:eastAsiaTheme="majorEastAsia" w:hAnsiTheme="majorHAnsi" w:cstheme="majorBidi"/>
      <w:color w:val="244061" w:themeColor="accent1" w:themeShade="8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qFormat/>
    <w:pPr>
      <w:ind w:firstLineChars="200" w:firstLine="420"/>
    </w:pPr>
  </w:style>
  <w:style w:type="paragraph" w:styleId="TOC7">
    <w:name w:val="toc 7"/>
    <w:basedOn w:val="Normal"/>
    <w:next w:val="Normal"/>
    <w:semiHidden/>
    <w:qFormat/>
    <w:pPr>
      <w:ind w:leftChars="1200" w:left="2520"/>
    </w:pPr>
  </w:style>
  <w:style w:type="paragraph" w:styleId="CommentText">
    <w:name w:val="annotation text"/>
    <w:basedOn w:val="Normal"/>
    <w:link w:val="CommentTextChar"/>
    <w:qFormat/>
    <w:pPr>
      <w:jc w:val="left"/>
    </w:pPr>
  </w:style>
  <w:style w:type="paragraph" w:styleId="BodyText">
    <w:name w:val="Body Text"/>
    <w:basedOn w:val="Normal"/>
    <w:link w:val="BodyTextChar"/>
    <w:qFormat/>
    <w:pPr>
      <w:spacing w:line="360" w:lineRule="auto"/>
    </w:pPr>
    <w:rPr>
      <w:rFonts w:ascii="仿宋_GB2312" w:eastAsia="仿宋_GB2312"/>
      <w:color w:val="000000"/>
      <w:kern w:val="0"/>
      <w:sz w:val="24"/>
      <w:szCs w:val="28"/>
    </w:rPr>
  </w:style>
  <w:style w:type="paragraph" w:styleId="BodyTextIndent">
    <w:name w:val="Body Text Indent"/>
    <w:basedOn w:val="Normal"/>
    <w:link w:val="BodyTextIndentChar"/>
    <w:qFormat/>
    <w:pPr>
      <w:adjustRightInd w:val="0"/>
      <w:snapToGrid w:val="0"/>
      <w:spacing w:line="560" w:lineRule="exact"/>
      <w:ind w:firstLineChars="200" w:firstLine="480"/>
    </w:pPr>
    <w:rPr>
      <w:rFonts w:eastAsia="方正仿宋简体"/>
      <w:sz w:val="24"/>
      <w:szCs w:val="30"/>
    </w:rPr>
  </w:style>
  <w:style w:type="paragraph" w:styleId="TOC5">
    <w:name w:val="toc 5"/>
    <w:basedOn w:val="Normal"/>
    <w:next w:val="Normal"/>
    <w:semiHidden/>
    <w:qFormat/>
    <w:pPr>
      <w:ind w:leftChars="800" w:left="1680"/>
    </w:pPr>
  </w:style>
  <w:style w:type="paragraph" w:styleId="TOC3">
    <w:name w:val="toc 3"/>
    <w:basedOn w:val="Normal"/>
    <w:next w:val="Normal"/>
    <w:semiHidden/>
    <w:qFormat/>
    <w:pPr>
      <w:ind w:leftChars="400" w:left="840"/>
    </w:pPr>
  </w:style>
  <w:style w:type="paragraph" w:styleId="TOC8">
    <w:name w:val="toc 8"/>
    <w:basedOn w:val="Normal"/>
    <w:next w:val="Normal"/>
    <w:semiHidden/>
    <w:qFormat/>
    <w:pPr>
      <w:ind w:leftChars="1400" w:left="2940"/>
    </w:pPr>
  </w:style>
  <w:style w:type="paragraph" w:styleId="BodyTextIndent2">
    <w:name w:val="Body Text Indent 2"/>
    <w:basedOn w:val="Normal"/>
    <w:link w:val="BodyTextIndent2Char"/>
    <w:qFormat/>
    <w:pPr>
      <w:spacing w:line="360" w:lineRule="auto"/>
      <w:ind w:firstLine="525"/>
    </w:pPr>
    <w:rPr>
      <w:rFonts w:ascii="宋体" w:hAnsi="宋体"/>
      <w:sz w:val="28"/>
      <w:szCs w:val="20"/>
    </w:rPr>
  </w:style>
  <w:style w:type="paragraph" w:styleId="BalloonText">
    <w:name w:val="Balloon Text"/>
    <w:basedOn w:val="Normal"/>
    <w:link w:val="BalloonTextChar"/>
    <w:semiHidden/>
    <w:qFormat/>
    <w:rPr>
      <w:sz w:val="18"/>
      <w:szCs w:val="18"/>
    </w:rPr>
  </w:style>
  <w:style w:type="paragraph" w:styleId="Footer">
    <w:name w:val="footer"/>
    <w:basedOn w:val="Normal"/>
    <w:link w:val="FooterChar"/>
    <w:uiPriority w:val="99"/>
    <w:unhideWhenUsed/>
    <w:qFormat/>
    <w:pPr>
      <w:tabs>
        <w:tab w:val="center" w:pos="4153"/>
        <w:tab w:val="right" w:pos="8306"/>
      </w:tabs>
      <w:snapToGrid w:val="0"/>
      <w:jc w:val="left"/>
    </w:pPr>
    <w:rPr>
      <w:sz w:val="18"/>
      <w:szCs w:val="18"/>
    </w:rPr>
  </w:style>
  <w:style w:type="paragraph" w:styleId="Header">
    <w:name w:val="header"/>
    <w:basedOn w:val="Normal"/>
    <w:link w:val="HeaderChar"/>
    <w:unhideWhenUsed/>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semiHidden/>
    <w:qFormat/>
  </w:style>
  <w:style w:type="paragraph" w:styleId="TOC4">
    <w:name w:val="toc 4"/>
    <w:basedOn w:val="Normal"/>
    <w:next w:val="Normal"/>
    <w:semiHidden/>
    <w:qFormat/>
    <w:pPr>
      <w:ind w:leftChars="600" w:left="1260"/>
    </w:pPr>
  </w:style>
  <w:style w:type="paragraph" w:styleId="TOC6">
    <w:name w:val="toc 6"/>
    <w:basedOn w:val="Normal"/>
    <w:next w:val="Normal"/>
    <w:semiHidden/>
    <w:qFormat/>
    <w:pPr>
      <w:ind w:leftChars="1000" w:left="2100"/>
    </w:pPr>
  </w:style>
  <w:style w:type="paragraph" w:styleId="BodyTextIndent3">
    <w:name w:val="Body Text Indent 3"/>
    <w:basedOn w:val="Normal"/>
    <w:link w:val="BodyTextIndent3Char"/>
    <w:qFormat/>
    <w:pPr>
      <w:adjustRightInd w:val="0"/>
      <w:snapToGrid w:val="0"/>
      <w:ind w:firstLineChars="200" w:firstLine="480"/>
    </w:pPr>
    <w:rPr>
      <w:rFonts w:ascii="仿宋_GB2312" w:eastAsia="仿宋_GB2312" w:hAnsi="宋体" w:cs="Arial"/>
      <w:color w:val="000000"/>
      <w:sz w:val="24"/>
    </w:rPr>
  </w:style>
  <w:style w:type="paragraph" w:styleId="TOC2">
    <w:name w:val="toc 2"/>
    <w:basedOn w:val="Normal"/>
    <w:next w:val="Normal"/>
    <w:semiHidden/>
    <w:qFormat/>
    <w:pPr>
      <w:ind w:leftChars="200" w:left="420"/>
    </w:pPr>
  </w:style>
  <w:style w:type="paragraph" w:styleId="TOC9">
    <w:name w:val="toc 9"/>
    <w:basedOn w:val="Normal"/>
    <w:next w:val="Normal"/>
    <w:semiHidden/>
    <w:qFormat/>
    <w:pPr>
      <w:ind w:leftChars="1600" w:left="3360"/>
    </w:pPr>
  </w:style>
  <w:style w:type="paragraph" w:styleId="HTMLPreformatted">
    <w:name w:val="HTML Preformatted"/>
    <w:basedOn w:val="Normal"/>
    <w:link w:val="HTMLPreformattedChar"/>
    <w:uiPriority w:val="99"/>
    <w:unhideWhenUsed/>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NormalWeb">
    <w:name w:val="Normal (Web)"/>
    <w:basedOn w:val="Normal"/>
    <w:uiPriority w:val="99"/>
    <w:qFormat/>
    <w:pPr>
      <w:widowControl/>
      <w:spacing w:before="100" w:beforeAutospacing="1" w:after="100" w:afterAutospacing="1"/>
      <w:jc w:val="left"/>
    </w:pPr>
    <w:rPr>
      <w:rFonts w:ascii="Arial Unicode MS" w:eastAsia="Arial Unicode MS" w:hAnsi="Arial Unicode MS" w:cs="Arial Unicode MS"/>
      <w:kern w:val="0"/>
      <w:sz w:val="24"/>
    </w:rPr>
  </w:style>
  <w:style w:type="paragraph" w:styleId="CommentSubject">
    <w:name w:val="annotation subject"/>
    <w:basedOn w:val="CommentText"/>
    <w:next w:val="CommentText"/>
    <w:link w:val="CommentSubjectChar"/>
    <w:qFormat/>
    <w:rPr>
      <w:b/>
      <w:bCs/>
    </w:rPr>
  </w:style>
  <w:style w:type="character" w:styleId="Strong">
    <w:name w:val="Strong"/>
    <w:qFormat/>
    <w:rPr>
      <w:b/>
      <w:bCs/>
    </w:rPr>
  </w:style>
  <w:style w:type="character" w:styleId="PageNumber">
    <w:name w:val="page number"/>
    <w:basedOn w:val="DefaultParagraphFont"/>
    <w:qFormat/>
  </w:style>
  <w:style w:type="character" w:styleId="FollowedHyperlink">
    <w:name w:val="FollowedHyperlink"/>
    <w:uiPriority w:val="99"/>
    <w:semiHidden/>
    <w:unhideWhenUsed/>
    <w:qFormat/>
    <w:rPr>
      <w:color w:val="800080"/>
      <w:u w:val="single"/>
    </w:rPr>
  </w:style>
  <w:style w:type="character" w:styleId="Emphasis">
    <w:name w:val="Emphasis"/>
    <w:basedOn w:val="DefaultParagraphFont"/>
    <w:uiPriority w:val="20"/>
    <w:qFormat/>
    <w:rPr>
      <w:i/>
      <w:iCs/>
    </w:rPr>
  </w:style>
  <w:style w:type="character" w:styleId="Hyperlink">
    <w:name w:val="Hyperlink"/>
    <w:qFormat/>
    <w:rPr>
      <w:color w:val="0000FF"/>
      <w:u w:val="single"/>
    </w:rPr>
  </w:style>
  <w:style w:type="character" w:styleId="CommentReference">
    <w:name w:val="annotation reference"/>
    <w:uiPriority w:val="99"/>
    <w:qFormat/>
    <w:rPr>
      <w:sz w:val="21"/>
      <w:szCs w:val="21"/>
    </w:rPr>
  </w:style>
  <w:style w:type="character" w:customStyle="1" w:styleId="HeaderChar">
    <w:name w:val="Header Char"/>
    <w:basedOn w:val="DefaultParagraphFont"/>
    <w:link w:val="Header"/>
    <w:qFormat/>
    <w:rPr>
      <w:sz w:val="18"/>
      <w:szCs w:val="18"/>
    </w:rPr>
  </w:style>
  <w:style w:type="character" w:customStyle="1" w:styleId="FooterChar">
    <w:name w:val="Footer Char"/>
    <w:basedOn w:val="DefaultParagraphFont"/>
    <w:link w:val="Footer"/>
    <w:uiPriority w:val="99"/>
    <w:qFormat/>
    <w:rPr>
      <w:sz w:val="18"/>
      <w:szCs w:val="18"/>
    </w:rPr>
  </w:style>
  <w:style w:type="character" w:customStyle="1" w:styleId="Heading2Char">
    <w:name w:val="Heading 2 Char"/>
    <w:basedOn w:val="DefaultParagraphFont"/>
    <w:link w:val="Heading2"/>
    <w:qFormat/>
    <w:rPr>
      <w:rFonts w:ascii="Arial" w:eastAsia="黑体" w:hAnsi="Arial" w:cs="Times New Roman"/>
      <w:b/>
      <w:sz w:val="32"/>
      <w:szCs w:val="20"/>
    </w:rPr>
  </w:style>
  <w:style w:type="character" w:customStyle="1" w:styleId="Heading3Char">
    <w:name w:val="Heading 3 Char"/>
    <w:basedOn w:val="DefaultParagraphFont"/>
    <w:link w:val="Heading3"/>
    <w:uiPriority w:val="9"/>
    <w:qFormat/>
    <w:rPr>
      <w:rFonts w:asciiTheme="majorHAnsi" w:eastAsiaTheme="majorEastAsia" w:hAnsiTheme="majorHAnsi" w:cstheme="majorBidi"/>
      <w:color w:val="244061" w:themeColor="accent1" w:themeShade="80"/>
      <w:sz w:val="24"/>
      <w:szCs w:val="24"/>
    </w:rPr>
  </w:style>
  <w:style w:type="paragraph" w:customStyle="1" w:styleId="wz1">
    <w:name w:val="wz1"/>
    <w:basedOn w:val="Normal"/>
    <w:qFormat/>
    <w:pPr>
      <w:widowControl/>
      <w:spacing w:before="100" w:beforeAutospacing="1" w:after="100" w:afterAutospacing="1" w:line="245" w:lineRule="atLeast"/>
      <w:jc w:val="left"/>
    </w:pPr>
    <w:rPr>
      <w:rFonts w:ascii="Arial Unicode MS" w:eastAsia="Arial Unicode MS" w:hAnsi="Arial Unicode MS" w:cs="Arial Unicode MS"/>
      <w:color w:val="CC0000"/>
      <w:kern w:val="0"/>
      <w:sz w:val="22"/>
      <w:szCs w:val="22"/>
    </w:rPr>
  </w:style>
  <w:style w:type="character" w:customStyle="1" w:styleId="BodyTextChar">
    <w:name w:val="Body Text Char"/>
    <w:basedOn w:val="DefaultParagraphFont"/>
    <w:link w:val="BodyText"/>
    <w:qFormat/>
    <w:rPr>
      <w:rFonts w:ascii="仿宋_GB2312" w:eastAsia="仿宋_GB2312" w:hAnsi="Times New Roman" w:cs="Times New Roman"/>
      <w:color w:val="000000"/>
      <w:kern w:val="0"/>
      <w:sz w:val="24"/>
      <w:szCs w:val="28"/>
    </w:rPr>
  </w:style>
  <w:style w:type="character" w:customStyle="1" w:styleId="read">
    <w:name w:val="read"/>
    <w:basedOn w:val="DefaultParagraphFont"/>
    <w:qFormat/>
  </w:style>
  <w:style w:type="character" w:customStyle="1" w:styleId="BodyTextIndentChar">
    <w:name w:val="Body Text Indent Char"/>
    <w:basedOn w:val="DefaultParagraphFont"/>
    <w:link w:val="BodyTextIndent"/>
    <w:qFormat/>
    <w:rPr>
      <w:rFonts w:ascii="Times New Roman" w:eastAsia="方正仿宋简体" w:hAnsi="Times New Roman" w:cs="Times New Roman"/>
      <w:sz w:val="24"/>
      <w:szCs w:val="30"/>
    </w:rPr>
  </w:style>
  <w:style w:type="character" w:customStyle="1" w:styleId="BodyTextIndent2Char">
    <w:name w:val="Body Text Indent 2 Char"/>
    <w:basedOn w:val="DefaultParagraphFont"/>
    <w:link w:val="BodyTextIndent2"/>
    <w:qFormat/>
    <w:rPr>
      <w:rFonts w:ascii="宋体" w:eastAsia="宋体" w:hAnsi="宋体" w:cs="Times New Roman"/>
      <w:sz w:val="28"/>
      <w:szCs w:val="20"/>
    </w:rPr>
  </w:style>
  <w:style w:type="character" w:customStyle="1" w:styleId="BodyTextIndent3Char">
    <w:name w:val="Body Text Indent 3 Char"/>
    <w:basedOn w:val="DefaultParagraphFont"/>
    <w:link w:val="BodyTextIndent3"/>
    <w:qFormat/>
    <w:rPr>
      <w:rFonts w:ascii="仿宋_GB2312" w:eastAsia="仿宋_GB2312" w:hAnsi="宋体" w:cs="Arial"/>
      <w:color w:val="000000"/>
      <w:sz w:val="24"/>
      <w:szCs w:val="24"/>
    </w:rPr>
  </w:style>
  <w:style w:type="character" w:customStyle="1" w:styleId="BalloonTextChar">
    <w:name w:val="Balloon Text Char"/>
    <w:basedOn w:val="DefaultParagraphFont"/>
    <w:link w:val="BalloonText"/>
    <w:semiHidden/>
    <w:qFormat/>
    <w:rPr>
      <w:rFonts w:ascii="Times New Roman" w:eastAsia="宋体" w:hAnsi="Times New Roman" w:cs="Times New Roman"/>
      <w:sz w:val="18"/>
      <w:szCs w:val="18"/>
    </w:rPr>
  </w:style>
  <w:style w:type="paragraph" w:customStyle="1" w:styleId="Char">
    <w:name w:val="Char"/>
    <w:basedOn w:val="Normal"/>
    <w:qFormat/>
  </w:style>
  <w:style w:type="paragraph" w:customStyle="1" w:styleId="Char1">
    <w:name w:val="Char1"/>
    <w:basedOn w:val="Normal"/>
    <w:qFormat/>
    <w:pPr>
      <w:tabs>
        <w:tab w:val="left" w:pos="832"/>
      </w:tabs>
      <w:ind w:left="832" w:hanging="420"/>
      <w:jc w:val="center"/>
    </w:pPr>
    <w:rPr>
      <w:rFonts w:ascii="楷体_GB2312" w:eastAsia="楷体_GB2312"/>
      <w:b/>
      <w:color w:val="000080"/>
      <w:sz w:val="30"/>
      <w:szCs w:val="30"/>
    </w:rPr>
  </w:style>
  <w:style w:type="paragraph" w:customStyle="1" w:styleId="CharCharChar">
    <w:name w:val="Char Char Char"/>
    <w:basedOn w:val="Normal"/>
    <w:qFormat/>
  </w:style>
  <w:style w:type="character" w:customStyle="1" w:styleId="CommentTextChar">
    <w:name w:val="Comment Text Char"/>
    <w:basedOn w:val="DefaultParagraphFont"/>
    <w:link w:val="CommentText"/>
    <w:qFormat/>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Normal"/>
    <w:qFormat/>
  </w:style>
  <w:style w:type="paragraph" w:customStyle="1" w:styleId="CharChar">
    <w:name w:val="Char Char"/>
    <w:basedOn w:val="Normal"/>
    <w:qFormat/>
    <w:rPr>
      <w:szCs w:val="20"/>
    </w:rPr>
  </w:style>
  <w:style w:type="character" w:customStyle="1" w:styleId="HTMLPreformattedChar">
    <w:name w:val="HTML Preformatted Char"/>
    <w:basedOn w:val="DefaultParagraphFont"/>
    <w:link w:val="HTMLPreformatted"/>
    <w:uiPriority w:val="99"/>
    <w:qFormat/>
    <w:rPr>
      <w:rFonts w:ascii="宋体" w:eastAsia="宋体" w:hAnsi="宋体" w:cs="宋体"/>
      <w:kern w:val="0"/>
      <w:sz w:val="24"/>
      <w:szCs w:val="24"/>
    </w:rPr>
  </w:style>
  <w:style w:type="character" w:customStyle="1" w:styleId="CommentSubjectChar">
    <w:name w:val="Comment Subject Char"/>
    <w:basedOn w:val="CommentTextChar"/>
    <w:link w:val="CommentSubject"/>
    <w:qFormat/>
    <w:rPr>
      <w:rFonts w:ascii="Times New Roman" w:eastAsia="宋体" w:hAnsi="Times New Roman" w:cs="Times New Roman"/>
      <w:b/>
      <w:bCs/>
      <w:szCs w:val="24"/>
    </w:rPr>
  </w:style>
  <w:style w:type="paragraph" w:customStyle="1" w:styleId="Revision1">
    <w:name w:val="Revision1"/>
    <w:hidden/>
    <w:uiPriority w:val="99"/>
    <w:semiHidden/>
    <w:qFormat/>
    <w:rPr>
      <w:rFonts w:ascii="Times New Roman" w:eastAsia="宋体" w:hAnsi="Times New Roman" w:cs="Times New Roman"/>
      <w:kern w:val="2"/>
      <w:sz w:val="21"/>
      <w:szCs w:val="24"/>
    </w:rPr>
  </w:style>
  <w:style w:type="character" w:customStyle="1" w:styleId="sect2title">
    <w:name w:val="sect2title"/>
    <w:basedOn w:val="DefaultParagraphFont"/>
    <w:qFormat/>
  </w:style>
  <w:style w:type="character" w:customStyle="1" w:styleId="Title1">
    <w:name w:val="Title1"/>
    <w:basedOn w:val="DefaultParagraphFont"/>
    <w:qFormat/>
  </w:style>
  <w:style w:type="paragraph" w:customStyle="1" w:styleId="title10">
    <w:name w:val="title1"/>
    <w:basedOn w:val="Normal"/>
    <w:qFormat/>
    <w:pPr>
      <w:widowControl/>
      <w:spacing w:before="100" w:beforeAutospacing="1" w:after="100" w:afterAutospacing="1"/>
      <w:jc w:val="left"/>
    </w:pPr>
    <w:rPr>
      <w:rFonts w:eastAsia="Times New Roman"/>
      <w:kern w:val="0"/>
      <w:sz w:val="24"/>
    </w:rPr>
  </w:style>
  <w:style w:type="character" w:customStyle="1" w:styleId="link-prefix">
    <w:name w:val="link-prefix"/>
    <w:basedOn w:val="DefaultParagraphFont"/>
    <w:qFormat/>
  </w:style>
  <w:style w:type="character" w:customStyle="1" w:styleId="sect2content">
    <w:name w:val="sect2content"/>
    <w:basedOn w:val="DefaultParagraphFont"/>
    <w:qFormat/>
  </w:style>
  <w:style w:type="paragraph" w:customStyle="1" w:styleId="sect2content1">
    <w:name w:val="sect2content1"/>
    <w:basedOn w:val="Normal"/>
    <w:qFormat/>
    <w:pPr>
      <w:widowControl/>
      <w:spacing w:before="100" w:beforeAutospacing="1" w:after="100" w:afterAutospacing="1"/>
      <w:jc w:val="left"/>
    </w:pPr>
    <w:rPr>
      <w:rFonts w:eastAsia="Times New Roman"/>
      <w:kern w:val="0"/>
      <w:sz w:val="24"/>
    </w:rPr>
  </w:style>
  <w:style w:type="character" w:customStyle="1" w:styleId="Title2">
    <w:name w:val="Title2"/>
    <w:basedOn w:val="DefaultParagraphFont"/>
    <w:qFormat/>
  </w:style>
  <w:style w:type="paragraph" w:styleId="ListParagraph">
    <w:name w:val="List Paragraph"/>
    <w:basedOn w:val="Normal"/>
    <w:uiPriority w:val="34"/>
    <w:qFormat/>
    <w:pPr>
      <w:ind w:firstLineChars="200" w:firstLine="420"/>
    </w:pPr>
  </w:style>
  <w:style w:type="paragraph" w:customStyle="1" w:styleId="a">
    <w:name w:val="正文所"/>
    <w:basedOn w:val="Normal"/>
    <w:qFormat/>
    <w:pPr>
      <w:spacing w:line="360" w:lineRule="auto"/>
      <w:ind w:firstLineChars="200" w:firstLine="420"/>
    </w:pPr>
    <w:rPr>
      <w:rFonts w:ascii="宋体"/>
      <w:szCs w:val="20"/>
    </w:rPr>
  </w:style>
  <w:style w:type="character" w:customStyle="1" w:styleId="Char10">
    <w:name w:val="批注文字 Char1"/>
    <w:qFormat/>
    <w:rPr>
      <w:kern w:val="2"/>
      <w:sz w:val="21"/>
    </w:rPr>
  </w:style>
  <w:style w:type="paragraph" w:customStyle="1" w:styleId="1">
    <w:name w:val="修订1"/>
    <w:hidden/>
    <w:uiPriority w:val="99"/>
    <w:semiHidden/>
    <w:qFormat/>
    <w:rPr>
      <w:rFonts w:ascii="Times New Roman" w:eastAsia="宋体" w:hAnsi="Times New Roman" w:cs="Times New Roman"/>
      <w:kern w:val="2"/>
      <w:sz w:val="21"/>
      <w:szCs w:val="24"/>
    </w:rPr>
  </w:style>
  <w:style w:type="paragraph" w:customStyle="1" w:styleId="2">
    <w:name w:val="修订2"/>
    <w:hidden/>
    <w:uiPriority w:val="99"/>
    <w:semiHidden/>
    <w:qFormat/>
    <w:rPr>
      <w:rFonts w:ascii="Times New Roman" w:eastAsia="宋体" w:hAnsi="Times New Roman" w:cs="Times New Roman"/>
      <w:kern w:val="2"/>
      <w:sz w:val="21"/>
      <w:szCs w:val="24"/>
    </w:rPr>
  </w:style>
  <w:style w:type="paragraph" w:customStyle="1" w:styleId="3">
    <w:name w:val="修订3"/>
    <w:hidden/>
    <w:uiPriority w:val="99"/>
    <w:unhideWhenUsed/>
    <w:qFormat/>
    <w:rPr>
      <w:rFonts w:ascii="Times New Roman" w:eastAsia="宋体" w:hAnsi="Times New Roman" w:cs="Times New Roman"/>
      <w:kern w:val="2"/>
      <w:sz w:val="21"/>
      <w:szCs w:val="24"/>
    </w:rPr>
  </w:style>
  <w:style w:type="paragraph" w:customStyle="1" w:styleId="4">
    <w:name w:val="修订4"/>
    <w:hidden/>
    <w:uiPriority w:val="99"/>
    <w:semiHidden/>
    <w:qFormat/>
    <w:rPr>
      <w:rFonts w:ascii="Times New Roman" w:eastAsia="宋体" w:hAnsi="Times New Roman" w:cs="Times New Roman"/>
      <w:kern w:val="2"/>
      <w:sz w:val="21"/>
      <w:szCs w:val="24"/>
    </w:rPr>
  </w:style>
  <w:style w:type="paragraph" w:styleId="Revision">
    <w:name w:val="Revision"/>
    <w:hidden/>
    <w:uiPriority w:val="99"/>
    <w:unhideWhenUsed/>
    <w:rsid w:val="00A64B2C"/>
    <w:rPr>
      <w:rFonts w:ascii="Times New Roman" w:eastAsia="宋体" w:hAnsi="Times New Roman" w:cs="Times New Roman"/>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74992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F8427D-CD7D-44BA-B526-C295B6DCD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31</Pages>
  <Words>3836</Words>
  <Characters>21867</Characters>
  <Application>Microsoft Office Word</Application>
  <DocSecurity>0</DocSecurity>
  <Lines>182</Lines>
  <Paragraphs>51</Paragraphs>
  <ScaleCrop>false</ScaleCrop>
  <Company>神州网信技术有限公司</Company>
  <LinksUpToDate>false</LinksUpToDate>
  <CharactersWithSpaces>25652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吴思潔</dc:creator>
  <cp:lastModifiedBy>Wenqing Lin</cp:lastModifiedBy>
  <cp:revision>44</cp:revision>
  <cp:lastPrinted>2021-07-28T15:50:00Z</cp:lastPrinted>
  <dcterms:created xsi:type="dcterms:W3CDTF">2026-07-10T00:54:00Z</dcterms:created>
  <dcterms:modified xsi:type="dcterms:W3CDTF">2026-09-04T07:54:00Z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86f99e5c30bafb54fc78b29058945f7fa6573c3b65ab4d1cb87a11d367a64089</vt:lpwstr>
  </property>
  <property fmtid="{D5CDD505-2E9C-101B-9397-08002B2CF9AE}" pid="3" name="KSOProductBuildVer">
    <vt:lpwstr>2052-12.8.2.15311</vt:lpwstr>
  </property>
  <property fmtid="{D5CDD505-2E9C-101B-9397-08002B2CF9AE}" pid="4" name="ICV">
    <vt:lpwstr>3A71EC0CF5504EE98F1DF76488C5D5C4_13</vt:lpwstr>
  </property>
  <property fmtid="{D5CDD505-2E9C-101B-9397-08002B2CF9AE}" pid="5" name="DLPManualFileClassification">
    <vt:lpwstr>{63B04C26-BB67-44F1-B7CE-43FB899BF78B}</vt:lpwstr>
  </property>
  <property fmtid="{D5CDD505-2E9C-101B-9397-08002B2CF9AE}" pid="6" name="DLPManualFileClassificationLastModifiedBy">
    <vt:lpwstr>BLKFMCOA\heong</vt:lpwstr>
  </property>
  <property fmtid="{D5CDD505-2E9C-101B-9397-08002B2CF9AE}" pid="7" name="DLPManualFileClassificationLastModificationDate">
    <vt:lpwstr>1733295059</vt:lpwstr>
  </property>
  <property fmtid="{D5CDD505-2E9C-101B-9397-08002B2CF9AE}" pid="8" name="DLPManualFileClassificationVersion">
    <vt:lpwstr>11.10.0.29</vt:lpwstr>
  </property>
  <property fmtid="{D5CDD505-2E9C-101B-9397-08002B2CF9AE}" pid="9" name="KSOTemplateDocerSaveRecord">
    <vt:lpwstr>eyJoZGlkIjoiZTlmMWVkN2QyMjdkMDA5ZDY4OTI0NzdmYzJiNTA1ODgiLCJ1c2VySWQiOiIyOTI5MDQ2NzUifQ==</vt:lpwstr>
  </property>
  <property fmtid="{D5CDD505-2E9C-101B-9397-08002B2CF9AE}" pid="10" name="MSIP_Label_1ed20c5a-ecf3-4a68-a190-a33af0783d79_Enabled">
    <vt:lpwstr>true</vt:lpwstr>
  </property>
  <property fmtid="{D5CDD505-2E9C-101B-9397-08002B2CF9AE}" pid="11" name="MSIP_Label_1ed20c5a-ecf3-4a68-a190-a33af0783d79_SetDate">
    <vt:lpwstr>2026-08-21T13:25:12Z</vt:lpwstr>
  </property>
  <property fmtid="{D5CDD505-2E9C-101B-9397-08002B2CF9AE}" pid="12" name="MSIP_Label_1ed20c5a-ecf3-4a68-a190-a33af0783d79_Method">
    <vt:lpwstr>Privileged</vt:lpwstr>
  </property>
  <property fmtid="{D5CDD505-2E9C-101B-9397-08002B2CF9AE}" pid="13" name="MSIP_Label_1ed20c5a-ecf3-4a68-a190-a33af0783d79_Name">
    <vt:lpwstr>Limited</vt:lpwstr>
  </property>
  <property fmtid="{D5CDD505-2E9C-101B-9397-08002B2CF9AE}" pid="14" name="MSIP_Label_1ed20c5a-ecf3-4a68-a190-a33af0783d79_SiteId">
    <vt:lpwstr>6d6adc7e-34d6-41da-85e5-c9e6450ac3e7</vt:lpwstr>
  </property>
  <property fmtid="{D5CDD505-2E9C-101B-9397-08002B2CF9AE}" pid="15" name="MSIP_Label_1ed20c5a-ecf3-4a68-a190-a33af0783d79_ActionId">
    <vt:lpwstr>26262560-e484-4c1f-b58a-18b7b3be5d99</vt:lpwstr>
  </property>
  <property fmtid="{D5CDD505-2E9C-101B-9397-08002B2CF9AE}" pid="16" name="MSIP_Label_1ed20c5a-ecf3-4a68-a190-a33af0783d79_ContentBits">
    <vt:lpwstr>0</vt:lpwstr>
  </property>
  <property fmtid="{D5CDD505-2E9C-101B-9397-08002B2CF9AE}" pid="17" name="MSIP_Label_1ed20c5a-ecf3-4a68-a190-a33af0783d79_Tag">
    <vt:lpwstr>10, 0, 1, 1</vt:lpwstr>
  </property>
</Properties>
</file>