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pacing w:line="587" w:lineRule="atLeast"/>
        <w:jc w:val="center"/>
        <w:rPr>
          <w:rFonts w:ascii="彩虹粗仿宋" w:hAnsi="彩虹小标宋" w:eastAsia="彩虹粗仿宋" w:cs="彩虹小标宋"/>
          <w:b/>
          <w:bCs/>
          <w:kern w:val="0"/>
          <w:sz w:val="30"/>
          <w:szCs w:val="30"/>
          <w:shd w:val="clear" w:color="auto" w:fill="FFFFFF"/>
        </w:rPr>
      </w:pPr>
      <w:r>
        <w:rPr>
          <w:rFonts w:hint="eastAsia" w:ascii="彩虹粗仿宋" w:hAnsi="彩虹小标宋" w:eastAsia="彩虹粗仿宋" w:cs="彩虹小标宋"/>
          <w:b/>
          <w:bCs/>
          <w:kern w:val="0"/>
          <w:sz w:val="30"/>
          <w:szCs w:val="30"/>
          <w:shd w:val="clear" w:color="auto" w:fill="FFFFFF"/>
        </w:rPr>
        <w:t>厦门市分行2026年福建海洋</w:t>
      </w:r>
      <w:r>
        <w:rPr>
          <w:rFonts w:hint="eastAsia" w:ascii="彩虹粗仿宋" w:hAnsi="彩虹小标宋" w:eastAsia="彩虹粗仿宋" w:cs="彩虹小标宋"/>
          <w:b/>
          <w:bCs/>
          <w:kern w:val="0"/>
          <w:sz w:val="30"/>
          <w:szCs w:val="30"/>
          <w:shd w:val="clear" w:color="auto" w:fill="FFFFFF"/>
          <w:lang w:eastAsia="zh-CN"/>
        </w:rPr>
        <w:t>研究</w:t>
      </w:r>
      <w:r>
        <w:rPr>
          <w:rFonts w:hint="eastAsia" w:ascii="彩虹粗仿宋" w:hAnsi="彩虹小标宋" w:eastAsia="彩虹粗仿宋" w:cs="彩虹小标宋"/>
          <w:b/>
          <w:bCs/>
          <w:kern w:val="0"/>
          <w:sz w:val="30"/>
          <w:szCs w:val="30"/>
          <w:shd w:val="clear" w:color="auto" w:fill="FFFFFF"/>
        </w:rPr>
        <w:t>所</w:t>
      </w:r>
      <w:r>
        <w:rPr>
          <w:rFonts w:hint="eastAsia" w:ascii="彩虹粗仿宋" w:hAnsi="彩虹小标宋" w:eastAsia="彩虹粗仿宋" w:cs="彩虹小标宋"/>
          <w:b/>
          <w:bCs/>
          <w:kern w:val="0"/>
          <w:sz w:val="30"/>
          <w:szCs w:val="30"/>
          <w:shd w:val="clear" w:color="auto" w:fill="FFFFFF"/>
          <w:lang w:val="en-US" w:eastAsia="zh-CN"/>
        </w:rPr>
        <w:t>项目</w:t>
      </w:r>
      <w:r>
        <w:rPr>
          <w:rFonts w:hint="eastAsia" w:ascii="彩虹粗仿宋" w:hAnsi="彩虹小标宋" w:eastAsia="彩虹粗仿宋" w:cs="彩虹小标宋"/>
          <w:b/>
          <w:bCs/>
          <w:kern w:val="0"/>
          <w:sz w:val="30"/>
          <w:szCs w:val="30"/>
          <w:shd w:val="clear" w:color="auto" w:fill="FFFFFF"/>
        </w:rPr>
        <w:t>管理信息化</w:t>
      </w:r>
      <w:r>
        <w:rPr>
          <w:rFonts w:hint="eastAsia" w:ascii="彩虹粗仿宋" w:hAnsi="彩虹小标宋" w:eastAsia="彩虹粗仿宋" w:cs="彩虹小标宋"/>
          <w:b/>
          <w:bCs/>
          <w:kern w:val="0"/>
          <w:sz w:val="30"/>
          <w:szCs w:val="30"/>
          <w:shd w:val="clear" w:color="auto" w:fill="FFFFFF"/>
          <w:lang w:val="en-US" w:eastAsia="zh-CN"/>
        </w:rPr>
        <w:t>系统开发</w:t>
      </w:r>
      <w:r>
        <w:rPr>
          <w:rFonts w:hint="eastAsia" w:ascii="彩虹粗仿宋" w:hAnsi="彩虹小标宋" w:eastAsia="彩虹粗仿宋" w:cs="彩虹小标宋"/>
          <w:b/>
          <w:bCs/>
          <w:kern w:val="0"/>
          <w:sz w:val="30"/>
          <w:szCs w:val="30"/>
          <w:shd w:val="clear" w:color="auto" w:fill="FFFFFF"/>
        </w:rPr>
        <w:t>采购需求</w:t>
      </w:r>
    </w:p>
    <w:p>
      <w:pPr>
        <w:adjustRightInd w:val="0"/>
        <w:spacing w:line="587" w:lineRule="atLeast"/>
        <w:ind w:firstLine="562" w:firstLineChars="200"/>
        <w:rPr>
          <w:rFonts w:ascii="彩虹粗仿宋" w:hAnsi="宋体" w:eastAsia="彩虹粗仿宋" w:cs="Times New Roman"/>
          <w:b/>
          <w:snapToGrid w:val="0"/>
          <w:kern w:val="0"/>
          <w:sz w:val="28"/>
          <w:szCs w:val="28"/>
        </w:rPr>
      </w:pPr>
      <w:r>
        <w:rPr>
          <w:rFonts w:hint="eastAsia" w:ascii="彩虹粗仿宋" w:hAnsi="宋体" w:eastAsia="彩虹粗仿宋" w:cs="Times New Roman"/>
          <w:b/>
          <w:snapToGrid w:val="0"/>
          <w:kern w:val="0"/>
          <w:sz w:val="28"/>
          <w:szCs w:val="28"/>
        </w:rPr>
        <w:t>（一）项目名称</w:t>
      </w:r>
    </w:p>
    <w:p>
      <w:pPr>
        <w:spacing w:line="587" w:lineRule="atLeast"/>
        <w:ind w:firstLine="560" w:firstLineChars="200"/>
        <w:rPr>
          <w:rFonts w:hint="default" w:ascii="彩虹粗仿宋" w:hAnsi="宋体" w:eastAsia="彩虹粗仿宋" w:cs="Times New Roman"/>
          <w:snapToGrid w:val="0"/>
          <w:sz w:val="28"/>
          <w:szCs w:val="28"/>
          <w:lang w:val="en-US" w:eastAsia="zh-CN"/>
        </w:rPr>
      </w:pPr>
      <w:r>
        <w:rPr>
          <w:rFonts w:hint="eastAsia" w:ascii="彩虹粗仿宋" w:hAnsi="宋体" w:eastAsia="彩虹粗仿宋" w:cs="Times New Roman"/>
          <w:snapToGrid w:val="0"/>
          <w:sz w:val="28"/>
          <w:szCs w:val="28"/>
        </w:rPr>
        <w:t>厦门市分行2026年福建海洋</w:t>
      </w:r>
      <w:r>
        <w:rPr>
          <w:rFonts w:hint="eastAsia" w:ascii="彩虹粗仿宋" w:hAnsi="宋体" w:eastAsia="彩虹粗仿宋" w:cs="Times New Roman"/>
          <w:snapToGrid w:val="0"/>
          <w:sz w:val="28"/>
          <w:szCs w:val="28"/>
          <w:lang w:eastAsia="zh-CN"/>
        </w:rPr>
        <w:t>研究</w:t>
      </w:r>
      <w:r>
        <w:rPr>
          <w:rFonts w:hint="eastAsia" w:ascii="彩虹粗仿宋" w:hAnsi="宋体" w:eastAsia="彩虹粗仿宋" w:cs="Times New Roman"/>
          <w:snapToGrid w:val="0"/>
          <w:sz w:val="28"/>
          <w:szCs w:val="28"/>
        </w:rPr>
        <w:t>所</w:t>
      </w:r>
      <w:r>
        <w:rPr>
          <w:rFonts w:hint="eastAsia" w:ascii="彩虹粗仿宋" w:hAnsi="宋体" w:eastAsia="彩虹粗仿宋" w:cs="Times New Roman"/>
          <w:snapToGrid w:val="0"/>
          <w:sz w:val="28"/>
          <w:szCs w:val="28"/>
          <w:lang w:val="en-US" w:eastAsia="zh-CN"/>
        </w:rPr>
        <w:t>项目</w:t>
      </w:r>
      <w:r>
        <w:rPr>
          <w:rFonts w:hint="eastAsia" w:ascii="彩虹粗仿宋" w:hAnsi="宋体" w:eastAsia="彩虹粗仿宋" w:cs="Times New Roman"/>
          <w:snapToGrid w:val="0"/>
          <w:sz w:val="28"/>
          <w:szCs w:val="28"/>
          <w:lang w:eastAsia="zh-CN"/>
        </w:rPr>
        <w:t>管理信息化</w:t>
      </w:r>
      <w:r>
        <w:rPr>
          <w:rFonts w:hint="eastAsia" w:ascii="彩虹粗仿宋" w:hAnsi="宋体" w:eastAsia="彩虹粗仿宋" w:cs="Times New Roman"/>
          <w:snapToGrid w:val="0"/>
          <w:sz w:val="28"/>
          <w:szCs w:val="28"/>
          <w:lang w:val="en-US" w:eastAsia="zh-CN"/>
        </w:rPr>
        <w:t>系统开发</w:t>
      </w:r>
    </w:p>
    <w:p>
      <w:pPr>
        <w:adjustRightInd w:val="0"/>
        <w:spacing w:line="587" w:lineRule="atLeast"/>
        <w:ind w:firstLine="562" w:firstLineChars="200"/>
        <w:rPr>
          <w:rFonts w:ascii="彩虹粗仿宋" w:hAnsi="宋体" w:eastAsia="彩虹粗仿宋" w:cs="Times New Roman"/>
          <w:b/>
          <w:snapToGrid w:val="0"/>
          <w:kern w:val="0"/>
          <w:sz w:val="28"/>
          <w:szCs w:val="28"/>
        </w:rPr>
      </w:pPr>
      <w:r>
        <w:rPr>
          <w:rFonts w:hint="eastAsia" w:ascii="彩虹粗仿宋" w:hAnsi="宋体" w:eastAsia="彩虹粗仿宋" w:cs="Times New Roman"/>
          <w:b/>
          <w:snapToGrid w:val="0"/>
          <w:kern w:val="0"/>
          <w:sz w:val="28"/>
          <w:szCs w:val="28"/>
        </w:rPr>
        <w:t>（二）服务内容</w:t>
      </w:r>
    </w:p>
    <w:p>
      <w:pPr>
        <w:spacing w:line="587" w:lineRule="atLeast"/>
        <w:ind w:firstLine="560" w:firstLineChars="200"/>
        <w:rPr>
          <w:rFonts w:ascii="彩虹粗仿宋" w:hAnsi="宋体" w:eastAsia="彩虹粗仿宋" w:cs="Times New Roman"/>
          <w:snapToGrid w:val="0"/>
          <w:sz w:val="28"/>
          <w:szCs w:val="28"/>
        </w:rPr>
      </w:pPr>
      <w:r>
        <w:rPr>
          <w:rFonts w:hint="eastAsia" w:ascii="彩虹粗仿宋" w:hAnsi="宋体" w:eastAsia="彩虹粗仿宋" w:cs="Times New Roman"/>
          <w:snapToGrid w:val="0"/>
          <w:sz w:val="28"/>
          <w:szCs w:val="28"/>
          <w:lang w:eastAsia="zh-CN"/>
        </w:rPr>
        <w:t>设计开发项目管理信息化系统，提升项目管理效率，</w:t>
      </w:r>
      <w:r>
        <w:rPr>
          <w:rFonts w:hint="eastAsia" w:ascii="彩虹粗仿宋" w:hAnsi="宋体" w:eastAsia="彩虹粗仿宋" w:cs="Times New Roman"/>
          <w:snapToGrid w:val="0"/>
          <w:sz w:val="28"/>
          <w:szCs w:val="28"/>
        </w:rPr>
        <w:t>通过系统互通消除业务流程断点，进一步深化</w:t>
      </w:r>
      <w:r>
        <w:rPr>
          <w:rFonts w:hint="eastAsia" w:ascii="彩虹粗仿宋" w:hAnsi="宋体" w:eastAsia="彩虹粗仿宋" w:cs="Times New Roman"/>
          <w:snapToGrid w:val="0"/>
          <w:sz w:val="28"/>
          <w:szCs w:val="28"/>
          <w:lang w:eastAsia="zh-CN"/>
        </w:rPr>
        <w:t>银政合作</w:t>
      </w:r>
      <w:r>
        <w:rPr>
          <w:rFonts w:hint="eastAsia" w:ascii="彩虹粗仿宋" w:hAnsi="宋体" w:eastAsia="彩虹粗仿宋" w:cs="Times New Roman"/>
          <w:snapToGrid w:val="0"/>
          <w:sz w:val="28"/>
          <w:szCs w:val="28"/>
        </w:rPr>
        <w:t>。系统主要功能如下：</w:t>
      </w:r>
    </w:p>
    <w:tbl>
      <w:tblPr>
        <w:tblStyle w:val="8"/>
        <w:tblW w:w="5039" w:type="pct"/>
        <w:jc w:val="center"/>
        <w:tblLayout w:type="autofit"/>
        <w:tblCellMar>
          <w:top w:w="0" w:type="dxa"/>
          <w:left w:w="108" w:type="dxa"/>
          <w:bottom w:w="0" w:type="dxa"/>
          <w:right w:w="108" w:type="dxa"/>
        </w:tblCellMar>
      </w:tblPr>
      <w:tblGrid>
        <w:gridCol w:w="468"/>
        <w:gridCol w:w="1251"/>
        <w:gridCol w:w="6869"/>
      </w:tblGrid>
      <w:tr>
        <w:tblPrEx>
          <w:tblCellMar>
            <w:top w:w="0" w:type="dxa"/>
            <w:left w:w="108" w:type="dxa"/>
            <w:bottom w:w="0" w:type="dxa"/>
            <w:right w:w="108" w:type="dxa"/>
          </w:tblCellMar>
        </w:tblPrEx>
        <w:trPr>
          <w:trHeight w:val="380" w:hRule="atLeast"/>
          <w:jc w:val="center"/>
        </w:trPr>
        <w:tc>
          <w:tcPr>
            <w:tcW w:w="273"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eastAsia="宋体"/>
                <w:color w:val="000000" w:themeColor="text1"/>
                <w:sz w:val="18"/>
                <w:szCs w:val="18"/>
                <w14:textFill>
                  <w14:solidFill>
                    <w14:schemeClr w14:val="tx1"/>
                  </w14:solidFill>
                </w14:textFill>
              </w:rPr>
            </w:pPr>
            <w:r>
              <w:rPr>
                <w:rFonts w:hint="eastAsia" w:ascii="宋体" w:eastAsia="宋体"/>
                <w:color w:val="000000" w:themeColor="text1"/>
                <w:sz w:val="18"/>
                <w:szCs w:val="18"/>
                <w14:textFill>
                  <w14:solidFill>
                    <w14:schemeClr w14:val="tx1"/>
                  </w14:solidFill>
                </w14:textFill>
              </w:rPr>
              <w:t>　</w:t>
            </w:r>
          </w:p>
        </w:tc>
        <w:tc>
          <w:tcPr>
            <w:tcW w:w="728" w:type="pct"/>
            <w:tcBorders>
              <w:top w:val="single" w:color="auto" w:sz="4" w:space="0"/>
              <w:left w:val="nil"/>
              <w:bottom w:val="single" w:color="auto" w:sz="4" w:space="0"/>
              <w:right w:val="single" w:color="auto" w:sz="4" w:space="0"/>
            </w:tcBorders>
            <w:shd w:val="clear" w:color="auto" w:fill="auto"/>
            <w:vAlign w:val="center"/>
          </w:tcPr>
          <w:p>
            <w:pPr>
              <w:jc w:val="center"/>
              <w:rPr>
                <w:rFonts w:hint="eastAsia" w:ascii="宋体" w:eastAsia="宋体"/>
                <w:color w:val="000000" w:themeColor="text1"/>
                <w:sz w:val="18"/>
                <w:szCs w:val="18"/>
                <w:lang w:eastAsia="zh-CN"/>
                <w14:textFill>
                  <w14:solidFill>
                    <w14:schemeClr w14:val="tx1"/>
                  </w14:solidFill>
                </w14:textFill>
              </w:rPr>
            </w:pPr>
            <w:r>
              <w:rPr>
                <w:rFonts w:hint="eastAsia" w:ascii="宋体" w:eastAsia="宋体"/>
                <w:color w:val="000000" w:themeColor="text1"/>
                <w:sz w:val="18"/>
                <w:szCs w:val="18"/>
                <w:lang w:eastAsia="zh-CN"/>
                <w14:textFill>
                  <w14:solidFill>
                    <w14:schemeClr w14:val="tx1"/>
                  </w14:solidFill>
                </w14:textFill>
              </w:rPr>
              <w:t>产品模块</w:t>
            </w:r>
          </w:p>
        </w:tc>
        <w:tc>
          <w:tcPr>
            <w:tcW w:w="3998" w:type="pct"/>
            <w:tcBorders>
              <w:top w:val="single" w:color="auto" w:sz="4" w:space="0"/>
              <w:left w:val="nil"/>
              <w:bottom w:val="single" w:color="auto" w:sz="4" w:space="0"/>
              <w:right w:val="single" w:color="auto" w:sz="4" w:space="0"/>
            </w:tcBorders>
            <w:shd w:val="clear" w:color="auto" w:fill="auto"/>
            <w:vAlign w:val="center"/>
          </w:tcPr>
          <w:p>
            <w:pPr>
              <w:jc w:val="center"/>
              <w:rPr>
                <w:rFonts w:ascii="宋体" w:eastAsia="宋体"/>
                <w:color w:val="000000" w:themeColor="text1"/>
                <w:sz w:val="18"/>
                <w:szCs w:val="18"/>
                <w14:textFill>
                  <w14:solidFill>
                    <w14:schemeClr w14:val="tx1"/>
                  </w14:solidFill>
                </w14:textFill>
              </w:rPr>
            </w:pPr>
            <w:r>
              <w:rPr>
                <w:rFonts w:hint="eastAsia" w:ascii="宋体" w:eastAsia="宋体"/>
                <w:color w:val="000000" w:themeColor="text1"/>
                <w:sz w:val="18"/>
                <w:szCs w:val="18"/>
                <w14:textFill>
                  <w14:solidFill>
                    <w14:schemeClr w14:val="tx1"/>
                  </w14:solidFill>
                </w14:textFill>
              </w:rPr>
              <w:t>功能简述</w:t>
            </w:r>
          </w:p>
        </w:tc>
      </w:tr>
      <w:tr>
        <w:tblPrEx>
          <w:tblCellMar>
            <w:top w:w="0" w:type="dxa"/>
            <w:left w:w="108" w:type="dxa"/>
            <w:bottom w:w="0" w:type="dxa"/>
            <w:right w:w="108" w:type="dxa"/>
          </w:tblCellMar>
        </w:tblPrEx>
        <w:trPr>
          <w:trHeight w:val="369" w:hRule="atLeast"/>
          <w:jc w:val="center"/>
        </w:trPr>
        <w:tc>
          <w:tcPr>
            <w:tcW w:w="273" w:type="pct"/>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eastAsia="宋体"/>
                <w:color w:val="000000" w:themeColor="text1"/>
                <w:sz w:val="18"/>
                <w:szCs w:val="18"/>
                <w14:textFill>
                  <w14:solidFill>
                    <w14:schemeClr w14:val="tx1"/>
                  </w14:solidFill>
                </w14:textFill>
              </w:rPr>
            </w:pPr>
            <w:r>
              <w:rPr>
                <w:rFonts w:hint="eastAsia" w:ascii="宋体" w:eastAsia="宋体"/>
                <w:color w:val="000000" w:themeColor="text1"/>
                <w:sz w:val="18"/>
                <w:szCs w:val="18"/>
                <w14:textFill>
                  <w14:solidFill>
                    <w14:schemeClr w14:val="tx1"/>
                  </w14:solidFill>
                </w14:textFill>
              </w:rPr>
              <w:t>1</w:t>
            </w:r>
          </w:p>
        </w:tc>
        <w:tc>
          <w:tcPr>
            <w:tcW w:w="7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eastAsia="宋体"/>
                <w:color w:val="000000" w:themeColor="text1"/>
                <w:sz w:val="18"/>
                <w:szCs w:val="18"/>
                <w:lang w:eastAsia="zh-CN"/>
                <w14:textFill>
                  <w14:solidFill>
                    <w14:schemeClr w14:val="tx1"/>
                  </w14:solidFill>
                </w14:textFill>
              </w:rPr>
            </w:pPr>
            <w:r>
              <w:rPr>
                <w:rFonts w:hint="eastAsia" w:ascii="宋体" w:eastAsia="宋体"/>
                <w:color w:val="000000" w:themeColor="text1"/>
                <w:sz w:val="18"/>
                <w:szCs w:val="18"/>
                <w:lang w:eastAsia="zh-CN"/>
                <w14:textFill>
                  <w14:solidFill>
                    <w14:schemeClr w14:val="tx1"/>
                  </w14:solidFill>
                </w14:textFill>
              </w:rPr>
              <w:t>项目管理</w:t>
            </w:r>
          </w:p>
        </w:tc>
        <w:tc>
          <w:tcPr>
            <w:tcW w:w="3998" w:type="pc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eastAsia="宋体"/>
                <w:color w:val="000000" w:themeColor="text1"/>
                <w:sz w:val="18"/>
                <w:szCs w:val="18"/>
                <w14:textFill>
                  <w14:solidFill>
                    <w14:schemeClr w14:val="tx1"/>
                  </w14:solidFill>
                </w14:textFill>
              </w:rPr>
            </w:pPr>
            <w:r>
              <w:rPr>
                <w:rFonts w:hint="eastAsia" w:ascii="宋体" w:eastAsia="宋体"/>
                <w:color w:val="000000" w:themeColor="text1"/>
                <w:sz w:val="18"/>
                <w:szCs w:val="18"/>
                <w14:textFill>
                  <w14:solidFill>
                    <w14:schemeClr w14:val="tx1"/>
                  </w14:solidFill>
                </w14:textFill>
              </w:rPr>
              <w:t>开发项目管理报表系统，实现新项目线上化、报表化</w:t>
            </w:r>
          </w:p>
        </w:tc>
      </w:tr>
      <w:tr>
        <w:tblPrEx>
          <w:tblCellMar>
            <w:top w:w="0" w:type="dxa"/>
            <w:left w:w="108" w:type="dxa"/>
            <w:bottom w:w="0" w:type="dxa"/>
            <w:right w:w="108" w:type="dxa"/>
          </w:tblCellMar>
        </w:tblPrEx>
        <w:trPr>
          <w:trHeight w:val="380" w:hRule="atLeast"/>
          <w:jc w:val="center"/>
        </w:trPr>
        <w:tc>
          <w:tcPr>
            <w:tcW w:w="273" w:type="pct"/>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eastAsia="宋体"/>
                <w:color w:val="000000" w:themeColor="text1"/>
                <w:sz w:val="18"/>
                <w:szCs w:val="18"/>
                <w14:textFill>
                  <w14:solidFill>
                    <w14:schemeClr w14:val="tx1"/>
                  </w14:solidFill>
                </w14:textFill>
              </w:rPr>
            </w:pPr>
          </w:p>
        </w:tc>
        <w:tc>
          <w:tcPr>
            <w:tcW w:w="728" w:type="pct"/>
            <w:vMerge w:val="continue"/>
            <w:tcBorders>
              <w:top w:val="single" w:color="auto" w:sz="4" w:space="0"/>
              <w:left w:val="single" w:color="auto" w:sz="4" w:space="0"/>
              <w:bottom w:val="single" w:color="auto" w:sz="4" w:space="0"/>
              <w:right w:val="single" w:color="auto" w:sz="4" w:space="0"/>
            </w:tcBorders>
            <w:vAlign w:val="center"/>
          </w:tcPr>
          <w:p>
            <w:pPr>
              <w:jc w:val="left"/>
              <w:rPr>
                <w:rFonts w:ascii="宋体" w:eastAsia="宋体"/>
                <w:color w:val="000000" w:themeColor="text1"/>
                <w:sz w:val="18"/>
                <w:szCs w:val="18"/>
                <w14:textFill>
                  <w14:solidFill>
                    <w14:schemeClr w14:val="tx1"/>
                  </w14:solidFill>
                </w14:textFill>
              </w:rPr>
            </w:pPr>
          </w:p>
        </w:tc>
        <w:tc>
          <w:tcPr>
            <w:tcW w:w="3998" w:type="pc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eastAsia="宋体"/>
                <w:color w:val="000000" w:themeColor="text1"/>
                <w:sz w:val="18"/>
                <w:szCs w:val="18"/>
                <w14:textFill>
                  <w14:solidFill>
                    <w14:schemeClr w14:val="tx1"/>
                  </w14:solidFill>
                </w14:textFill>
              </w:rPr>
            </w:pPr>
            <w:r>
              <w:rPr>
                <w:rFonts w:hint="eastAsia" w:ascii="宋体" w:eastAsia="宋体"/>
                <w:color w:val="000000" w:themeColor="text1"/>
                <w:sz w:val="18"/>
                <w:szCs w:val="18"/>
                <w14:textFill>
                  <w14:solidFill>
                    <w14:schemeClr w14:val="tx1"/>
                  </w14:solidFill>
                </w14:textFill>
              </w:rPr>
              <w:t>旧项目归档、核对、清算，完成项目的建档与核对</w:t>
            </w:r>
          </w:p>
        </w:tc>
      </w:tr>
      <w:tr>
        <w:tblPrEx>
          <w:tblCellMar>
            <w:top w:w="0" w:type="dxa"/>
            <w:left w:w="108" w:type="dxa"/>
            <w:bottom w:w="0" w:type="dxa"/>
            <w:right w:w="108" w:type="dxa"/>
          </w:tblCellMar>
        </w:tblPrEx>
        <w:trPr>
          <w:trHeight w:val="438" w:hRule="atLeast"/>
          <w:jc w:val="center"/>
        </w:trPr>
        <w:tc>
          <w:tcPr>
            <w:tcW w:w="273"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eastAsia="宋体"/>
                <w:color w:val="000000" w:themeColor="text1"/>
                <w:sz w:val="18"/>
                <w:szCs w:val="18"/>
                <w:lang w:val="en-US" w:eastAsia="zh-CN"/>
                <w14:textFill>
                  <w14:solidFill>
                    <w14:schemeClr w14:val="tx1"/>
                  </w14:solidFill>
                </w14:textFill>
              </w:rPr>
            </w:pPr>
            <w:r>
              <w:rPr>
                <w:rFonts w:hint="eastAsia" w:ascii="宋体" w:eastAsia="宋体"/>
                <w:color w:val="000000" w:themeColor="text1"/>
                <w:sz w:val="18"/>
                <w:szCs w:val="18"/>
                <w:lang w:val="en-US" w:eastAsia="zh-CN"/>
                <w14:textFill>
                  <w14:solidFill>
                    <w14:schemeClr w14:val="tx1"/>
                  </w14:solidFill>
                </w14:textFill>
              </w:rPr>
              <w:t>2</w:t>
            </w:r>
          </w:p>
        </w:tc>
        <w:tc>
          <w:tcPr>
            <w:tcW w:w="728" w:type="pct"/>
            <w:tcBorders>
              <w:top w:val="single" w:color="auto" w:sz="4" w:space="0"/>
              <w:left w:val="single" w:color="auto" w:sz="4" w:space="0"/>
              <w:bottom w:val="single" w:color="auto" w:sz="4" w:space="0"/>
              <w:right w:val="single" w:color="auto" w:sz="4" w:space="0"/>
            </w:tcBorders>
            <w:vAlign w:val="center"/>
          </w:tcPr>
          <w:p>
            <w:pPr>
              <w:jc w:val="center"/>
              <w:rPr>
                <w:rFonts w:ascii="宋体" w:eastAsia="宋体"/>
                <w:color w:val="000000" w:themeColor="text1"/>
                <w:sz w:val="18"/>
                <w:szCs w:val="18"/>
                <w14:textFill>
                  <w14:solidFill>
                    <w14:schemeClr w14:val="tx1"/>
                  </w14:solidFill>
                </w14:textFill>
              </w:rPr>
            </w:pPr>
            <w:r>
              <w:rPr>
                <w:rFonts w:hint="eastAsia" w:ascii="宋体" w:eastAsia="宋体"/>
                <w:color w:val="000000" w:themeColor="text1"/>
                <w:sz w:val="18"/>
                <w:szCs w:val="18"/>
                <w14:textFill>
                  <w14:solidFill>
                    <w14:schemeClr w14:val="tx1"/>
                  </w14:solidFill>
                </w14:textFill>
              </w:rPr>
              <w:t>核算系统</w:t>
            </w:r>
          </w:p>
        </w:tc>
        <w:tc>
          <w:tcPr>
            <w:tcW w:w="3998" w:type="pc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eastAsia="宋体"/>
                <w:color w:val="000000" w:themeColor="text1"/>
                <w:sz w:val="18"/>
                <w:szCs w:val="18"/>
                <w14:textFill>
                  <w14:solidFill>
                    <w14:schemeClr w14:val="tx1"/>
                  </w14:solidFill>
                </w14:textFill>
              </w:rPr>
            </w:pPr>
            <w:r>
              <w:rPr>
                <w:rFonts w:hint="eastAsia" w:ascii="宋体" w:eastAsia="宋体"/>
                <w:color w:val="000000" w:themeColor="text1"/>
                <w:sz w:val="18"/>
                <w:szCs w:val="18"/>
                <w14:textFill>
                  <w14:solidFill>
                    <w14:schemeClr w14:val="tx1"/>
                  </w14:solidFill>
                </w14:textFill>
              </w:rPr>
              <w:t>开发核算系统，项目预算执行总表、基本支出汇总表、项目支出汇总表、执行进度排序表</w:t>
            </w:r>
          </w:p>
        </w:tc>
      </w:tr>
      <w:tr>
        <w:tblPrEx>
          <w:tblCellMar>
            <w:top w:w="0" w:type="dxa"/>
            <w:left w:w="108" w:type="dxa"/>
            <w:bottom w:w="0" w:type="dxa"/>
            <w:right w:w="108" w:type="dxa"/>
          </w:tblCellMar>
        </w:tblPrEx>
        <w:trPr>
          <w:trHeight w:val="438" w:hRule="atLeast"/>
          <w:jc w:val="center"/>
        </w:trPr>
        <w:tc>
          <w:tcPr>
            <w:tcW w:w="273" w:type="pct"/>
            <w:vMerge w:val="restart"/>
            <w:tcBorders>
              <w:top w:val="single" w:color="auto" w:sz="4" w:space="0"/>
              <w:left w:val="single" w:color="auto" w:sz="4" w:space="0"/>
              <w:right w:val="single" w:color="auto" w:sz="4" w:space="0"/>
            </w:tcBorders>
            <w:shd w:val="clear" w:color="auto" w:fill="auto"/>
            <w:noWrap/>
            <w:vAlign w:val="center"/>
          </w:tcPr>
          <w:p>
            <w:pPr>
              <w:jc w:val="center"/>
              <w:rPr>
                <w:rFonts w:hint="default" w:ascii="宋体" w:eastAsia="宋体"/>
                <w:color w:val="000000" w:themeColor="text1"/>
                <w:sz w:val="18"/>
                <w:szCs w:val="18"/>
                <w:lang w:val="en-US" w:eastAsia="zh-CN"/>
                <w14:textFill>
                  <w14:solidFill>
                    <w14:schemeClr w14:val="tx1"/>
                  </w14:solidFill>
                </w14:textFill>
              </w:rPr>
            </w:pPr>
            <w:r>
              <w:rPr>
                <w:rFonts w:hint="eastAsia" w:ascii="宋体" w:eastAsia="宋体"/>
                <w:color w:val="000000" w:themeColor="text1"/>
                <w:sz w:val="18"/>
                <w:szCs w:val="18"/>
                <w:lang w:val="en-US" w:eastAsia="zh-CN"/>
                <w14:textFill>
                  <w14:solidFill>
                    <w14:schemeClr w14:val="tx1"/>
                  </w14:solidFill>
                </w14:textFill>
              </w:rPr>
              <w:t>3</w:t>
            </w:r>
          </w:p>
        </w:tc>
        <w:tc>
          <w:tcPr>
            <w:tcW w:w="728" w:type="pct"/>
            <w:vMerge w:val="restart"/>
            <w:tcBorders>
              <w:top w:val="single" w:color="auto" w:sz="4" w:space="0"/>
              <w:left w:val="single" w:color="auto" w:sz="4" w:space="0"/>
              <w:right w:val="single" w:color="auto" w:sz="4" w:space="0"/>
            </w:tcBorders>
            <w:vAlign w:val="center"/>
          </w:tcPr>
          <w:p>
            <w:pPr>
              <w:jc w:val="center"/>
              <w:rPr>
                <w:rFonts w:hint="eastAsia" w:ascii="宋体" w:eastAsia="宋体"/>
                <w:color w:val="000000" w:themeColor="text1"/>
                <w:sz w:val="18"/>
                <w:szCs w:val="18"/>
                <w:lang w:eastAsia="zh-CN"/>
                <w14:textFill>
                  <w14:solidFill>
                    <w14:schemeClr w14:val="tx1"/>
                  </w14:solidFill>
                </w14:textFill>
              </w:rPr>
            </w:pPr>
            <w:r>
              <w:rPr>
                <w:rFonts w:hint="eastAsia" w:ascii="宋体" w:eastAsia="宋体"/>
                <w:color w:val="000000" w:themeColor="text1"/>
                <w:sz w:val="18"/>
                <w:szCs w:val="18"/>
                <w:lang w:eastAsia="zh-CN"/>
                <w14:textFill>
                  <w14:solidFill>
                    <w14:schemeClr w14:val="tx1"/>
                  </w14:solidFill>
                </w14:textFill>
              </w:rPr>
              <w:t>接口对接</w:t>
            </w:r>
          </w:p>
        </w:tc>
        <w:tc>
          <w:tcPr>
            <w:tcW w:w="3998" w:type="pc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eastAsia="宋体"/>
                <w:color w:val="000000" w:themeColor="text1"/>
                <w:sz w:val="18"/>
                <w:szCs w:val="18"/>
                <w14:textFill>
                  <w14:solidFill>
                    <w14:schemeClr w14:val="tx1"/>
                  </w14:solidFill>
                </w14:textFill>
              </w:rPr>
            </w:pPr>
            <w:r>
              <w:rPr>
                <w:rFonts w:hint="eastAsia" w:ascii="宋体" w:eastAsia="宋体"/>
                <w:color w:val="000000" w:themeColor="text1"/>
                <w:sz w:val="18"/>
                <w:szCs w:val="18"/>
                <w14:textFill>
                  <w14:solidFill>
                    <w14:schemeClr w14:val="tx1"/>
                  </w14:solidFill>
                </w14:textFill>
              </w:rPr>
              <w:t>调用建行接口实现包括但不限于余额查询、流水查询、转账、汇划、明细对账、回单等接口对接</w:t>
            </w:r>
          </w:p>
        </w:tc>
      </w:tr>
      <w:tr>
        <w:tblPrEx>
          <w:tblCellMar>
            <w:top w:w="0" w:type="dxa"/>
            <w:left w:w="108" w:type="dxa"/>
            <w:bottom w:w="0" w:type="dxa"/>
            <w:right w:w="108" w:type="dxa"/>
          </w:tblCellMar>
        </w:tblPrEx>
        <w:trPr>
          <w:trHeight w:val="438" w:hRule="atLeast"/>
          <w:jc w:val="center"/>
        </w:trPr>
        <w:tc>
          <w:tcPr>
            <w:tcW w:w="273" w:type="pct"/>
            <w:vMerge w:val="continue"/>
            <w:tcBorders>
              <w:left w:val="single" w:color="auto" w:sz="4" w:space="0"/>
              <w:bottom w:val="single" w:color="auto" w:sz="4" w:space="0"/>
              <w:right w:val="single" w:color="auto" w:sz="4" w:space="0"/>
            </w:tcBorders>
            <w:shd w:val="clear" w:color="auto" w:fill="auto"/>
            <w:noWrap/>
            <w:vAlign w:val="center"/>
          </w:tcPr>
          <w:p>
            <w:pPr>
              <w:jc w:val="center"/>
              <w:rPr>
                <w:rFonts w:hint="eastAsia" w:ascii="宋体" w:eastAsia="宋体"/>
                <w:color w:val="000000" w:themeColor="text1"/>
                <w:sz w:val="18"/>
                <w:szCs w:val="18"/>
                <w:lang w:val="en-US" w:eastAsia="zh-CN"/>
                <w14:textFill>
                  <w14:solidFill>
                    <w14:schemeClr w14:val="tx1"/>
                  </w14:solidFill>
                </w14:textFill>
              </w:rPr>
            </w:pPr>
          </w:p>
        </w:tc>
        <w:tc>
          <w:tcPr>
            <w:tcW w:w="728" w:type="pct"/>
            <w:vMerge w:val="continue"/>
            <w:tcBorders>
              <w:left w:val="single" w:color="auto" w:sz="4" w:space="0"/>
              <w:bottom w:val="single" w:color="auto" w:sz="4" w:space="0"/>
              <w:right w:val="single" w:color="auto" w:sz="4" w:space="0"/>
            </w:tcBorders>
            <w:vAlign w:val="center"/>
          </w:tcPr>
          <w:p>
            <w:pPr>
              <w:jc w:val="center"/>
              <w:rPr>
                <w:rFonts w:hint="eastAsia" w:ascii="宋体" w:eastAsia="宋体"/>
                <w:color w:val="000000" w:themeColor="text1"/>
                <w:sz w:val="18"/>
                <w:szCs w:val="18"/>
                <w:lang w:eastAsia="zh-CN"/>
                <w14:textFill>
                  <w14:solidFill>
                    <w14:schemeClr w14:val="tx1"/>
                  </w14:solidFill>
                </w14:textFill>
              </w:rPr>
            </w:pPr>
          </w:p>
        </w:tc>
        <w:tc>
          <w:tcPr>
            <w:tcW w:w="3998" w:type="pc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eastAsia="宋体"/>
                <w:color w:val="000000" w:themeColor="text1"/>
                <w:sz w:val="18"/>
                <w:szCs w:val="18"/>
                <w14:textFill>
                  <w14:solidFill>
                    <w14:schemeClr w14:val="tx1"/>
                  </w14:solidFill>
                </w14:textFill>
              </w:rPr>
            </w:pPr>
            <w:r>
              <w:rPr>
                <w:rFonts w:hint="eastAsia" w:ascii="宋体" w:eastAsia="宋体"/>
                <w:color w:val="000000" w:themeColor="text1"/>
                <w:sz w:val="18"/>
                <w:szCs w:val="18"/>
                <w14:textFill>
                  <w14:solidFill>
                    <w14:schemeClr w14:val="tx1"/>
                  </w14:solidFill>
                </w14:textFill>
              </w:rPr>
              <w:t>省财政一体化端口改造对接</w:t>
            </w:r>
          </w:p>
        </w:tc>
      </w:tr>
    </w:tbl>
    <w:p>
      <w:pPr>
        <w:adjustRightInd w:val="0"/>
        <w:spacing w:line="587" w:lineRule="atLeast"/>
        <w:ind w:firstLine="562" w:firstLineChars="200"/>
        <w:rPr>
          <w:rFonts w:ascii="彩虹粗仿宋" w:hAnsi="宋体" w:eastAsia="彩虹粗仿宋" w:cs="Times New Roman"/>
          <w:snapToGrid w:val="0"/>
          <w:sz w:val="28"/>
          <w:szCs w:val="28"/>
          <w:highlight w:val="none"/>
        </w:rPr>
      </w:pPr>
      <w:r>
        <w:rPr>
          <w:rFonts w:hint="eastAsia" w:ascii="彩虹粗仿宋" w:hAnsi="宋体" w:eastAsia="彩虹粗仿宋" w:cs="Times New Roman"/>
          <w:b/>
          <w:snapToGrid w:val="0"/>
          <w:kern w:val="0"/>
          <w:sz w:val="28"/>
          <w:szCs w:val="28"/>
          <w:highlight w:val="none"/>
        </w:rPr>
        <w:t>（三）技术要求</w:t>
      </w:r>
    </w:p>
    <w:p>
      <w:pPr>
        <w:spacing w:line="587" w:lineRule="atLeast"/>
        <w:ind w:firstLine="560" w:firstLineChars="200"/>
        <w:rPr>
          <w:rFonts w:hint="eastAsia" w:ascii="彩虹粗仿宋" w:hAnsi="宋体" w:eastAsia="彩虹粗仿宋" w:cs="Times New Roman"/>
          <w:snapToGrid w:val="0"/>
          <w:sz w:val="28"/>
          <w:szCs w:val="28"/>
          <w:lang w:eastAsia="zh-CN"/>
        </w:rPr>
      </w:pPr>
      <w:r>
        <w:rPr>
          <w:rFonts w:hint="eastAsia" w:ascii="彩虹粗仿宋" w:hAnsi="宋体" w:eastAsia="彩虹粗仿宋" w:cs="Times New Roman"/>
          <w:snapToGrid w:val="0"/>
          <w:sz w:val="28"/>
          <w:szCs w:val="28"/>
          <w:lang w:eastAsia="zh-CN"/>
        </w:rPr>
        <w:t>搭建项目管理信息化系统</w:t>
      </w:r>
      <w:r>
        <w:rPr>
          <w:rFonts w:hint="eastAsia" w:ascii="彩虹粗仿宋" w:hAnsi="宋体" w:eastAsia="彩虹粗仿宋" w:cs="Times New Roman"/>
          <w:snapToGrid w:val="0"/>
          <w:sz w:val="28"/>
          <w:szCs w:val="28"/>
        </w:rPr>
        <w:t>实现科研项目全生命周期闭环管理、“项目—合同—账务”</w:t>
      </w:r>
      <w:r>
        <w:rPr>
          <w:rFonts w:hint="eastAsia" w:ascii="彩虹粗仿宋" w:hAnsi="宋体" w:eastAsia="彩虹粗仿宋" w:cs="Times New Roman"/>
          <w:snapToGrid w:val="0"/>
          <w:sz w:val="28"/>
          <w:szCs w:val="28"/>
          <w:lang w:eastAsia="zh-CN"/>
        </w:rPr>
        <w:t>三大核心业务</w:t>
      </w:r>
      <w:r>
        <w:rPr>
          <w:rFonts w:hint="eastAsia" w:ascii="彩虹粗仿宋" w:hAnsi="宋体" w:eastAsia="彩虹粗仿宋" w:cs="Times New Roman"/>
          <w:snapToGrid w:val="0"/>
          <w:sz w:val="28"/>
          <w:szCs w:val="28"/>
        </w:rPr>
        <w:t>互联互通</w:t>
      </w:r>
      <w:r>
        <w:rPr>
          <w:rFonts w:hint="eastAsia" w:ascii="彩虹粗仿宋" w:hAnsi="宋体" w:eastAsia="彩虹粗仿宋" w:cs="Times New Roman"/>
          <w:snapToGrid w:val="0"/>
          <w:sz w:val="28"/>
          <w:szCs w:val="28"/>
          <w:lang w:eastAsia="zh-CN"/>
        </w:rPr>
        <w:t>，包含以下场景：</w:t>
      </w:r>
    </w:p>
    <w:p>
      <w:pPr>
        <w:spacing w:line="587" w:lineRule="atLeast"/>
        <w:ind w:firstLine="560" w:firstLineChars="200"/>
        <w:rPr>
          <w:rFonts w:hint="eastAsia" w:ascii="彩虹粗仿宋" w:hAnsi="宋体" w:eastAsia="彩虹粗仿宋" w:cs="Times New Roman"/>
          <w:snapToGrid w:val="0"/>
          <w:sz w:val="28"/>
          <w:szCs w:val="28"/>
        </w:rPr>
      </w:pPr>
      <w:r>
        <w:rPr>
          <w:rFonts w:hint="eastAsia" w:ascii="彩虹粗仿宋" w:hAnsi="宋体" w:eastAsia="彩虹粗仿宋" w:cs="Times New Roman"/>
          <w:snapToGrid w:val="0"/>
          <w:sz w:val="28"/>
          <w:szCs w:val="28"/>
        </w:rPr>
        <w:t>1. 搭建统科研项目库</w:t>
      </w:r>
    </w:p>
    <w:p>
      <w:pPr>
        <w:spacing w:line="587" w:lineRule="atLeast"/>
        <w:ind w:firstLine="560" w:firstLineChars="200"/>
        <w:rPr>
          <w:rFonts w:hint="eastAsia" w:ascii="彩虹粗仿宋" w:hAnsi="宋体" w:eastAsia="彩虹粗仿宋" w:cs="Times New Roman"/>
          <w:snapToGrid w:val="0"/>
          <w:sz w:val="28"/>
          <w:szCs w:val="28"/>
        </w:rPr>
      </w:pPr>
      <w:r>
        <w:rPr>
          <w:rFonts w:hint="eastAsia" w:ascii="彩虹粗仿宋" w:hAnsi="宋体" w:eastAsia="彩虹粗仿宋" w:cs="Times New Roman"/>
          <w:snapToGrid w:val="0"/>
          <w:sz w:val="28"/>
          <w:szCs w:val="28"/>
        </w:rPr>
        <w:t>将历史及现行项目导入到项目系统，建立项目库</w:t>
      </w:r>
      <w:r>
        <w:rPr>
          <w:rFonts w:hint="eastAsia" w:ascii="彩虹粗仿宋" w:hAnsi="宋体" w:eastAsia="彩虹粗仿宋" w:cs="Times New Roman"/>
          <w:snapToGrid w:val="0"/>
          <w:sz w:val="28"/>
          <w:szCs w:val="28"/>
          <w:lang w:eastAsia="zh-CN"/>
        </w:rPr>
        <w:t>。</w:t>
      </w:r>
      <w:r>
        <w:rPr>
          <w:rFonts w:hint="eastAsia" w:ascii="彩虹粗仿宋" w:hAnsi="宋体" w:eastAsia="彩虹粗仿宋" w:cs="Times New Roman"/>
          <w:snapToGrid w:val="0"/>
          <w:sz w:val="28"/>
          <w:szCs w:val="28"/>
        </w:rPr>
        <w:t>项目库以项目为核心管理单元，统一管理核算口径，实现项目储备、申报、审核、执行、完结、归档全流程线上化。</w:t>
      </w:r>
    </w:p>
    <w:p>
      <w:pPr>
        <w:spacing w:line="587" w:lineRule="atLeast"/>
        <w:ind w:firstLine="560" w:firstLineChars="200"/>
        <w:rPr>
          <w:rFonts w:hint="eastAsia" w:ascii="彩虹粗仿宋" w:hAnsi="宋体" w:eastAsia="彩虹粗仿宋" w:cs="Times New Roman"/>
          <w:snapToGrid w:val="0"/>
          <w:sz w:val="28"/>
          <w:szCs w:val="28"/>
        </w:rPr>
      </w:pPr>
      <w:r>
        <w:rPr>
          <w:rFonts w:hint="eastAsia" w:ascii="彩虹粗仿宋" w:hAnsi="宋体" w:eastAsia="彩虹粗仿宋" w:cs="Times New Roman"/>
          <w:snapToGrid w:val="0"/>
          <w:sz w:val="28"/>
          <w:szCs w:val="28"/>
          <w:lang w:val="en-US" w:eastAsia="zh-CN"/>
        </w:rPr>
        <w:t>2.</w:t>
      </w:r>
      <w:r>
        <w:rPr>
          <w:rFonts w:hint="eastAsia" w:ascii="彩虹粗仿宋" w:hAnsi="宋体" w:eastAsia="彩虹粗仿宋" w:cs="Times New Roman"/>
          <w:snapToGrid w:val="0"/>
          <w:sz w:val="28"/>
          <w:szCs w:val="28"/>
        </w:rPr>
        <w:t>通过银企直连</w:t>
      </w:r>
    </w:p>
    <w:p>
      <w:pPr>
        <w:spacing w:line="587" w:lineRule="atLeast"/>
        <w:ind w:firstLine="560" w:firstLineChars="200"/>
        <w:rPr>
          <w:rFonts w:ascii="彩虹粗仿宋" w:hAnsi="宋体" w:eastAsia="彩虹粗仿宋" w:cs="Times New Roman"/>
          <w:b/>
          <w:snapToGrid w:val="0"/>
          <w:kern w:val="0"/>
          <w:sz w:val="28"/>
          <w:szCs w:val="28"/>
        </w:rPr>
      </w:pPr>
      <w:r>
        <w:rPr>
          <w:rFonts w:hint="eastAsia" w:ascii="彩虹粗仿宋" w:hAnsi="宋体" w:eastAsia="彩虹粗仿宋" w:cs="Times New Roman"/>
          <w:snapToGrid w:val="0"/>
          <w:sz w:val="28"/>
          <w:szCs w:val="28"/>
        </w:rPr>
        <w:t>通过银企直联实现项目管理与资金的链接。银企直联将项目业务数据生成的账户处理指令通过调用接口直接完成，处理结果、账户明细直接反馈至机构端系统，避免在企业网银与机构端系统的来回切换。</w:t>
      </w:r>
    </w:p>
    <w:p>
      <w:pPr>
        <w:adjustRightInd w:val="0"/>
        <w:spacing w:line="587" w:lineRule="atLeast"/>
        <w:ind w:firstLine="562" w:firstLineChars="200"/>
        <w:rPr>
          <w:rFonts w:ascii="彩虹粗仿宋" w:hAnsi="宋体" w:eastAsia="彩虹粗仿宋" w:cs="Times New Roman"/>
          <w:b/>
          <w:snapToGrid w:val="0"/>
          <w:kern w:val="0"/>
          <w:sz w:val="28"/>
          <w:szCs w:val="28"/>
          <w:highlight w:val="none"/>
        </w:rPr>
      </w:pPr>
      <w:r>
        <w:rPr>
          <w:rFonts w:hint="eastAsia" w:ascii="彩虹粗仿宋" w:hAnsi="宋体" w:eastAsia="彩虹粗仿宋" w:cs="Times New Roman"/>
          <w:b/>
          <w:snapToGrid w:val="0"/>
          <w:kern w:val="0"/>
          <w:sz w:val="28"/>
          <w:szCs w:val="28"/>
          <w:highlight w:val="none"/>
        </w:rPr>
        <w:t>（四）系统开发完成时间及验收标准</w:t>
      </w:r>
    </w:p>
    <w:p>
      <w:pPr>
        <w:adjustRightInd w:val="0"/>
        <w:spacing w:line="587" w:lineRule="atLeast"/>
        <w:ind w:firstLine="560" w:firstLineChars="200"/>
        <w:rPr>
          <w:rFonts w:ascii="彩虹粗仿宋" w:hAnsi="宋体" w:eastAsia="彩虹粗仿宋" w:cs="Times New Roman"/>
          <w:snapToGrid w:val="0"/>
          <w:kern w:val="0"/>
          <w:sz w:val="28"/>
          <w:szCs w:val="28"/>
          <w:highlight w:val="none"/>
        </w:rPr>
      </w:pPr>
      <w:r>
        <w:rPr>
          <w:rFonts w:hint="eastAsia" w:ascii="彩虹粗仿宋" w:hAnsi="宋体" w:eastAsia="彩虹粗仿宋" w:cs="Times New Roman"/>
          <w:snapToGrid w:val="0"/>
          <w:kern w:val="0"/>
          <w:sz w:val="28"/>
          <w:szCs w:val="28"/>
          <w:highlight w:val="none"/>
        </w:rPr>
        <w:t>1.合同签署生效之日起3个月内完成系统上线及验收；</w:t>
      </w:r>
    </w:p>
    <w:p>
      <w:pPr>
        <w:adjustRightInd w:val="0"/>
        <w:spacing w:line="587" w:lineRule="atLeast"/>
        <w:ind w:firstLine="560" w:firstLineChars="200"/>
        <w:rPr>
          <w:rFonts w:ascii="彩虹粗仿宋" w:hAnsi="宋体" w:eastAsia="彩虹粗仿宋" w:cs="Times New Roman"/>
          <w:snapToGrid w:val="0"/>
          <w:kern w:val="0"/>
          <w:sz w:val="28"/>
          <w:szCs w:val="28"/>
          <w:highlight w:val="none"/>
        </w:rPr>
      </w:pPr>
      <w:r>
        <w:rPr>
          <w:rFonts w:hint="eastAsia" w:ascii="彩虹粗仿宋" w:hAnsi="宋体" w:eastAsia="彩虹粗仿宋" w:cs="Times New Roman"/>
          <w:snapToGrid w:val="0"/>
          <w:kern w:val="0"/>
          <w:sz w:val="28"/>
          <w:szCs w:val="28"/>
          <w:highlight w:val="none"/>
        </w:rPr>
        <w:t>2.验收标准：系统正常运行，由建设银行厦门市分行负责验收。</w:t>
      </w:r>
      <w:bookmarkStart w:id="0" w:name="TempCursorPosition"/>
      <w:bookmarkEnd w:id="0"/>
    </w:p>
    <w:p>
      <w:pPr>
        <w:adjustRightInd w:val="0"/>
        <w:spacing w:line="587" w:lineRule="atLeast"/>
        <w:ind w:firstLine="562" w:firstLineChars="200"/>
        <w:rPr>
          <w:rFonts w:ascii="彩虹粗仿宋" w:hAnsi="宋体" w:eastAsia="彩虹粗仿宋" w:cs="Times New Roman"/>
          <w:b/>
          <w:snapToGrid w:val="0"/>
          <w:kern w:val="0"/>
          <w:sz w:val="28"/>
          <w:szCs w:val="28"/>
          <w:highlight w:val="none"/>
        </w:rPr>
      </w:pPr>
      <w:r>
        <w:rPr>
          <w:rFonts w:hint="eastAsia" w:ascii="彩虹粗仿宋" w:hAnsi="宋体" w:eastAsia="彩虹粗仿宋" w:cs="Times New Roman"/>
          <w:b/>
          <w:snapToGrid w:val="0"/>
          <w:kern w:val="0"/>
          <w:sz w:val="28"/>
          <w:szCs w:val="28"/>
          <w:highlight w:val="none"/>
        </w:rPr>
        <w:t>（五）服务要求</w:t>
      </w:r>
    </w:p>
    <w:p>
      <w:pPr>
        <w:adjustRightInd w:val="0"/>
        <w:spacing w:line="587" w:lineRule="atLeast"/>
        <w:ind w:firstLine="560" w:firstLineChars="200"/>
        <w:rPr>
          <w:rFonts w:ascii="彩虹粗仿宋" w:hAnsi="宋体" w:eastAsia="彩虹粗仿宋" w:cs="Times New Roman"/>
          <w:snapToGrid w:val="0"/>
          <w:kern w:val="0"/>
          <w:sz w:val="28"/>
          <w:szCs w:val="28"/>
          <w:highlight w:val="none"/>
        </w:rPr>
      </w:pPr>
      <w:r>
        <w:rPr>
          <w:rFonts w:hint="eastAsia" w:ascii="彩虹粗仿宋" w:hAnsi="宋体" w:eastAsia="彩虹粗仿宋" w:cs="Times New Roman"/>
          <w:snapToGrid w:val="0"/>
          <w:kern w:val="0"/>
          <w:sz w:val="28"/>
          <w:szCs w:val="28"/>
          <w:highlight w:val="none"/>
        </w:rPr>
        <w:t>1、本项目要求供应商团队成员不低于2人，其中现场驻点人员不低于1人。项目期间发生人员变动须征得甲方同意。</w:t>
      </w:r>
    </w:p>
    <w:p>
      <w:pPr>
        <w:adjustRightInd w:val="0"/>
        <w:spacing w:line="587" w:lineRule="atLeast"/>
        <w:ind w:firstLine="560" w:firstLineChars="200"/>
        <w:rPr>
          <w:rFonts w:ascii="彩虹粗仿宋" w:hAnsi="宋体" w:eastAsia="彩虹粗仿宋" w:cs="Times New Roman"/>
          <w:snapToGrid w:val="0"/>
          <w:kern w:val="0"/>
          <w:sz w:val="28"/>
          <w:szCs w:val="28"/>
          <w:highlight w:val="none"/>
        </w:rPr>
      </w:pPr>
      <w:r>
        <w:rPr>
          <w:rFonts w:hint="eastAsia" w:ascii="彩虹粗仿宋" w:hAnsi="宋体" w:eastAsia="彩虹粗仿宋" w:cs="Times New Roman"/>
          <w:snapToGrid w:val="0"/>
          <w:kern w:val="0"/>
          <w:sz w:val="28"/>
          <w:szCs w:val="28"/>
          <w:highlight w:val="none"/>
        </w:rPr>
        <w:t>2、提供维保及优化迭代服务，从项目验收通过之日起3年。</w:t>
      </w:r>
    </w:p>
    <w:p>
      <w:pPr>
        <w:adjustRightInd w:val="0"/>
        <w:spacing w:line="587" w:lineRule="atLeast"/>
        <w:ind w:firstLine="560" w:firstLineChars="200"/>
        <w:rPr>
          <w:rFonts w:ascii="彩虹粗仿宋" w:hAnsi="宋体" w:eastAsia="彩虹粗仿宋" w:cs="Times New Roman"/>
          <w:snapToGrid w:val="0"/>
          <w:kern w:val="0"/>
          <w:sz w:val="28"/>
          <w:szCs w:val="28"/>
          <w:highlight w:val="none"/>
        </w:rPr>
      </w:pPr>
      <w:r>
        <w:rPr>
          <w:rFonts w:hint="eastAsia" w:ascii="彩虹粗仿宋" w:hAnsi="宋体" w:eastAsia="彩虹粗仿宋" w:cs="Times New Roman"/>
          <w:snapToGrid w:val="0"/>
          <w:kern w:val="0"/>
          <w:sz w:val="28"/>
          <w:szCs w:val="28"/>
          <w:highlight w:val="none"/>
        </w:rPr>
        <w:t>3、在系统的服务期内，供应商应确保系统的正常使用。在接到用户服务要求后应立即做出回应</w:t>
      </w:r>
      <w:bookmarkStart w:id="1" w:name="_GoBack"/>
      <w:bookmarkEnd w:id="1"/>
      <w:r>
        <w:rPr>
          <w:rFonts w:hint="eastAsia" w:ascii="彩虹粗仿宋" w:hAnsi="宋体" w:eastAsia="彩虹粗仿宋" w:cs="Times New Roman"/>
          <w:snapToGrid w:val="0"/>
          <w:kern w:val="0"/>
          <w:sz w:val="28"/>
          <w:szCs w:val="28"/>
          <w:highlight w:val="none"/>
        </w:rPr>
        <w:t>，并在承诺的服务时间内实施服务。</w:t>
      </w:r>
    </w:p>
    <w:p>
      <w:pPr>
        <w:adjustRightInd w:val="0"/>
        <w:spacing w:line="587" w:lineRule="atLeast"/>
        <w:ind w:firstLine="560" w:firstLineChars="200"/>
        <w:rPr>
          <w:rFonts w:ascii="彩虹粗仿宋" w:hAnsi="宋体" w:eastAsia="彩虹粗仿宋" w:cs="Times New Roman"/>
          <w:snapToGrid w:val="0"/>
          <w:kern w:val="0"/>
          <w:sz w:val="28"/>
          <w:szCs w:val="28"/>
          <w:highlight w:val="none"/>
        </w:rPr>
      </w:pPr>
      <w:r>
        <w:rPr>
          <w:rFonts w:hint="eastAsia" w:ascii="彩虹粗仿宋" w:hAnsi="宋体" w:eastAsia="彩虹粗仿宋" w:cs="Times New Roman"/>
          <w:snapToGrid w:val="0"/>
          <w:kern w:val="0"/>
          <w:sz w:val="28"/>
          <w:szCs w:val="28"/>
          <w:highlight w:val="none"/>
        </w:rPr>
        <w:t>4、供应商应提供7×24小时的免费上门保修服务。半小时内响应，4小时内到达现场，24小时内解决故障。</w:t>
      </w:r>
    </w:p>
    <w:p>
      <w:pPr>
        <w:adjustRightInd w:val="0"/>
        <w:spacing w:line="587" w:lineRule="atLeast"/>
        <w:ind w:firstLine="560" w:firstLineChars="200"/>
        <w:rPr>
          <w:rFonts w:ascii="彩虹粗仿宋" w:hAnsi="宋体" w:eastAsia="彩虹粗仿宋" w:cs="Times New Roman"/>
          <w:snapToGrid w:val="0"/>
          <w:kern w:val="0"/>
          <w:sz w:val="28"/>
          <w:szCs w:val="28"/>
          <w:highlight w:val="none"/>
        </w:rPr>
      </w:pPr>
      <w:r>
        <w:rPr>
          <w:rFonts w:hint="eastAsia" w:ascii="彩虹粗仿宋" w:hAnsi="宋体" w:eastAsia="彩虹粗仿宋" w:cs="Times New Roman"/>
          <w:snapToGrid w:val="0"/>
          <w:kern w:val="0"/>
          <w:sz w:val="28"/>
          <w:szCs w:val="28"/>
          <w:highlight w:val="none"/>
        </w:rPr>
        <w:t>5、供应商应支持热线电话服务。提供技术咨询、故障诊断、故障排除、以及现场支持等具体的支持工作，组建并定期更新项目知识库，并对客户投诉做出相应处理。</w:t>
      </w:r>
    </w:p>
    <w:p>
      <w:pPr>
        <w:adjustRightInd w:val="0"/>
        <w:spacing w:line="587" w:lineRule="atLeast"/>
        <w:ind w:firstLine="560" w:firstLineChars="200"/>
        <w:rPr>
          <w:rFonts w:ascii="彩虹粗仿宋" w:hAnsi="宋体" w:eastAsia="彩虹粗仿宋" w:cs="Times New Roman"/>
          <w:snapToGrid w:val="0"/>
          <w:kern w:val="0"/>
          <w:sz w:val="28"/>
          <w:szCs w:val="28"/>
          <w:highlight w:val="none"/>
        </w:rPr>
      </w:pPr>
      <w:r>
        <w:rPr>
          <w:rFonts w:hint="eastAsia" w:ascii="彩虹粗仿宋" w:hAnsi="宋体" w:eastAsia="彩虹粗仿宋" w:cs="Times New Roman"/>
          <w:snapToGrid w:val="0"/>
          <w:kern w:val="0"/>
          <w:sz w:val="28"/>
          <w:szCs w:val="28"/>
          <w:highlight w:val="none"/>
        </w:rPr>
        <w:t>6、供应商应定期巡检与调优系统，确保系统始终处于高效率运行状态。</w:t>
      </w:r>
    </w:p>
    <w:p>
      <w:pPr>
        <w:rPr>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彩虹黑体">
    <w:panose1 w:val="03000509000000000000"/>
    <w:charset w:val="86"/>
    <w:family w:val="script"/>
    <w:pitch w:val="default"/>
    <w:sig w:usb0="00000001" w:usb1="080E0000" w:usb2="00000000" w:usb3="00000000" w:csb0="00040000" w:csb1="00000000"/>
  </w:font>
  <w:font w:name="彩虹楷体">
    <w:panose1 w:val="03000509000000000000"/>
    <w:charset w:val="86"/>
    <w:family w:val="auto"/>
    <w:pitch w:val="default"/>
    <w:sig w:usb0="00000001" w:usb1="080E0000" w:usb2="00000000" w:usb3="00000000" w:csb0="00040000" w:csb1="00000000"/>
  </w:font>
  <w:font w:name="彩虹粗仿宋">
    <w:panose1 w:val="03000509000000000000"/>
    <w:charset w:val="86"/>
    <w:family w:val="auto"/>
    <w:pitch w:val="default"/>
    <w:sig w:usb0="00000001" w:usb1="080E0000" w:usb2="00000000" w:usb3="00000000" w:csb0="00040000" w:csb1="00000000"/>
  </w:font>
  <w:font w:name="彩虹小标宋">
    <w:panose1 w:val="03000509000000000000"/>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EFA9938"/>
    <w:multiLevelType w:val="multilevel"/>
    <w:tmpl w:val="6EFA9938"/>
    <w:lvl w:ilvl="0" w:tentative="0">
      <w:start w:val="1"/>
      <w:numFmt w:val="chineseCounting"/>
      <w:pStyle w:val="16"/>
      <w:suff w:val="nothing"/>
      <w:lvlText w:val="%1、"/>
      <w:lvlJc w:val="left"/>
      <w:pPr>
        <w:tabs>
          <w:tab w:val="left" w:pos="0"/>
        </w:tabs>
        <w:ind w:left="0" w:firstLine="0"/>
      </w:pPr>
      <w:rPr>
        <w:rFonts w:hint="eastAsia" w:ascii="彩虹黑体" w:hAnsi="彩虹黑体" w:eastAsia="彩虹黑体" w:cs="彩虹黑体"/>
        <w:sz w:val="32"/>
      </w:rPr>
    </w:lvl>
    <w:lvl w:ilvl="1" w:tentative="0">
      <w:start w:val="1"/>
      <w:numFmt w:val="chineseCounting"/>
      <w:pStyle w:val="17"/>
      <w:suff w:val="nothing"/>
      <w:lvlText w:val="（%2）"/>
      <w:lvlJc w:val="left"/>
      <w:pPr>
        <w:ind w:left="3828" w:firstLine="0"/>
      </w:pPr>
      <w:rPr>
        <w:rFonts w:hint="eastAsia" w:ascii="彩虹楷体" w:hAnsi="彩虹楷体" w:eastAsia="彩虹楷体" w:cs="彩虹楷体"/>
        <w:sz w:val="32"/>
      </w:rPr>
    </w:lvl>
    <w:lvl w:ilvl="2" w:tentative="0">
      <w:start w:val="1"/>
      <w:numFmt w:val="decimal"/>
      <w:pStyle w:val="18"/>
      <w:suff w:val="nothing"/>
      <w:lvlText w:val="%3．"/>
      <w:lvlJc w:val="left"/>
      <w:pPr>
        <w:ind w:left="0" w:firstLine="400"/>
      </w:pPr>
      <w:rPr>
        <w:rFonts w:hint="eastAsia" w:ascii="彩虹粗仿宋" w:hAnsi="彩虹粗仿宋" w:eastAsia="彩虹粗仿宋" w:cs="彩虹粗仿宋"/>
        <w:sz w:val="32"/>
      </w:rPr>
    </w:lvl>
    <w:lvl w:ilvl="3" w:tentative="0">
      <w:start w:val="1"/>
      <w:numFmt w:val="decimal"/>
      <w:pStyle w:val="19"/>
      <w:suff w:val="nothing"/>
      <w:lvlText w:val="（%4）"/>
      <w:lvlJc w:val="left"/>
      <w:pPr>
        <w:ind w:left="0" w:firstLine="402"/>
      </w:pPr>
      <w:rPr>
        <w:rFonts w:hint="eastAsia" w:ascii="彩虹粗仿宋" w:hAnsi="彩虹粗仿宋" w:eastAsia="彩虹粗仿宋" w:cs="彩虹粗仿宋"/>
        <w:sz w:val="32"/>
      </w:rPr>
    </w:lvl>
    <w:lvl w:ilvl="4" w:tentative="0">
      <w:start w:val="1"/>
      <w:numFmt w:val="decimalEnclosedCircleChinese"/>
      <w:pStyle w:val="2"/>
      <w:suff w:val="nothing"/>
      <w:lvlText w:val="%5"/>
      <w:lvlJc w:val="left"/>
      <w:pPr>
        <w:ind w:left="0" w:firstLine="402"/>
      </w:pPr>
      <w:rPr>
        <w:rFonts w:hint="eastAsia"/>
      </w:rPr>
    </w:lvl>
    <w:lvl w:ilvl="5" w:tentative="0">
      <w:start w:val="1"/>
      <w:numFmt w:val="decimal"/>
      <w:pStyle w:val="3"/>
      <w:suff w:val="nothing"/>
      <w:lvlText w:val="%6）"/>
      <w:lvlJc w:val="left"/>
      <w:pPr>
        <w:ind w:left="0" w:firstLine="402"/>
      </w:pPr>
      <w:rPr>
        <w:rFonts w:hint="eastAsia"/>
      </w:rPr>
    </w:lvl>
    <w:lvl w:ilvl="6" w:tentative="0">
      <w:start w:val="1"/>
      <w:numFmt w:val="lowerLetter"/>
      <w:pStyle w:val="4"/>
      <w:suff w:val="nothing"/>
      <w:lvlText w:val="%7．"/>
      <w:lvlJc w:val="left"/>
      <w:pPr>
        <w:ind w:left="0" w:firstLine="402"/>
      </w:pPr>
      <w:rPr>
        <w:rFonts w:hint="eastAsia"/>
      </w:rPr>
    </w:lvl>
    <w:lvl w:ilvl="7" w:tentative="0">
      <w:start w:val="1"/>
      <w:numFmt w:val="lowerLetter"/>
      <w:pStyle w:val="5"/>
      <w:suff w:val="nothing"/>
      <w:lvlText w:val="%8）"/>
      <w:lvlJc w:val="left"/>
      <w:pPr>
        <w:ind w:left="0" w:firstLine="402"/>
      </w:pPr>
      <w:rPr>
        <w:rFonts w:hint="eastAsia"/>
      </w:rPr>
    </w:lvl>
    <w:lvl w:ilvl="8" w:tentative="0">
      <w:start w:val="1"/>
      <w:numFmt w:val="lowerRoman"/>
      <w:pStyle w:val="6"/>
      <w:suff w:val="nothing"/>
      <w:lvlText w:val="%9 "/>
      <w:lvlJc w:val="left"/>
      <w:pPr>
        <w:ind w:left="0" w:firstLine="402"/>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2"/>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240F"/>
    <w:rsid w:val="0003252D"/>
    <w:rsid w:val="001E1997"/>
    <w:rsid w:val="001F440B"/>
    <w:rsid w:val="005F05D8"/>
    <w:rsid w:val="00601FF9"/>
    <w:rsid w:val="00667153"/>
    <w:rsid w:val="00AD27DB"/>
    <w:rsid w:val="00BB44C0"/>
    <w:rsid w:val="00BB737C"/>
    <w:rsid w:val="00DA240F"/>
    <w:rsid w:val="00F831F8"/>
    <w:rsid w:val="00F83D12"/>
    <w:rsid w:val="017930F7"/>
    <w:rsid w:val="05DB7E28"/>
    <w:rsid w:val="0602587F"/>
    <w:rsid w:val="09F350AD"/>
    <w:rsid w:val="0CAD49E4"/>
    <w:rsid w:val="16A460D4"/>
    <w:rsid w:val="19FF026D"/>
    <w:rsid w:val="266221B7"/>
    <w:rsid w:val="279E6304"/>
    <w:rsid w:val="2B567EA6"/>
    <w:rsid w:val="2B5833A9"/>
    <w:rsid w:val="339FE6EF"/>
    <w:rsid w:val="39FB2681"/>
    <w:rsid w:val="3E89663D"/>
    <w:rsid w:val="46726720"/>
    <w:rsid w:val="4E06200F"/>
    <w:rsid w:val="55137719"/>
    <w:rsid w:val="66D95523"/>
    <w:rsid w:val="704A7750"/>
    <w:rsid w:val="7AD732ED"/>
    <w:rsid w:val="7F3D31FA"/>
    <w:rsid w:val="83D94D5E"/>
    <w:rsid w:val="C75D1B8F"/>
    <w:rsid w:val="CBE91471"/>
    <w:rsid w:val="EFEB1C66"/>
    <w:rsid w:val="F7FFE6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link w:val="10"/>
    <w:semiHidden/>
    <w:unhideWhenUsed/>
    <w:qFormat/>
    <w:uiPriority w:val="9"/>
    <w:pPr>
      <w:keepNext/>
      <w:keepLines/>
      <w:widowControl/>
      <w:numPr>
        <w:ilvl w:val="4"/>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80" w:after="290" w:line="372" w:lineRule="auto"/>
      <w:outlineLvl w:val="4"/>
    </w:pPr>
    <w:rPr>
      <w:rFonts w:ascii="彩虹粗仿宋" w:hAnsi="宋体" w:eastAsia="彩虹粗仿宋" w:cs="宋体"/>
      <w:b/>
      <w:color w:val="000000"/>
      <w:kern w:val="0"/>
      <w:sz w:val="28"/>
      <w:szCs w:val="32"/>
    </w:rPr>
  </w:style>
  <w:style w:type="paragraph" w:styleId="3">
    <w:name w:val="heading 6"/>
    <w:basedOn w:val="1"/>
    <w:next w:val="1"/>
    <w:link w:val="11"/>
    <w:semiHidden/>
    <w:unhideWhenUsed/>
    <w:qFormat/>
    <w:uiPriority w:val="9"/>
    <w:pPr>
      <w:keepNext/>
      <w:keepLines/>
      <w:widowControl/>
      <w:numPr>
        <w:ilvl w:val="5"/>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64" w:line="317" w:lineRule="auto"/>
      <w:outlineLvl w:val="5"/>
    </w:pPr>
    <w:rPr>
      <w:rFonts w:ascii="Arial" w:hAnsi="Arial" w:eastAsia="黑体" w:cs="宋体"/>
      <w:b/>
      <w:color w:val="000000"/>
      <w:kern w:val="0"/>
      <w:sz w:val="24"/>
      <w:szCs w:val="32"/>
    </w:rPr>
  </w:style>
  <w:style w:type="paragraph" w:styleId="4">
    <w:name w:val="heading 7"/>
    <w:basedOn w:val="1"/>
    <w:next w:val="1"/>
    <w:link w:val="12"/>
    <w:semiHidden/>
    <w:unhideWhenUsed/>
    <w:qFormat/>
    <w:uiPriority w:val="9"/>
    <w:pPr>
      <w:keepNext/>
      <w:keepLines/>
      <w:widowControl/>
      <w:numPr>
        <w:ilvl w:val="6"/>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64" w:line="317" w:lineRule="auto"/>
      <w:outlineLvl w:val="6"/>
    </w:pPr>
    <w:rPr>
      <w:rFonts w:ascii="彩虹粗仿宋" w:hAnsi="宋体" w:eastAsia="彩虹粗仿宋" w:cs="宋体"/>
      <w:b/>
      <w:color w:val="000000"/>
      <w:kern w:val="0"/>
      <w:sz w:val="24"/>
      <w:szCs w:val="32"/>
    </w:rPr>
  </w:style>
  <w:style w:type="paragraph" w:styleId="5">
    <w:name w:val="heading 8"/>
    <w:basedOn w:val="1"/>
    <w:next w:val="1"/>
    <w:link w:val="13"/>
    <w:semiHidden/>
    <w:unhideWhenUsed/>
    <w:qFormat/>
    <w:uiPriority w:val="9"/>
    <w:pPr>
      <w:keepNext/>
      <w:keepLines/>
      <w:widowControl/>
      <w:numPr>
        <w:ilvl w:val="7"/>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64" w:line="317" w:lineRule="auto"/>
      <w:outlineLvl w:val="7"/>
    </w:pPr>
    <w:rPr>
      <w:rFonts w:ascii="Arial" w:hAnsi="Arial" w:eastAsia="黑体" w:cs="宋体"/>
      <w:color w:val="000000"/>
      <w:kern w:val="0"/>
      <w:sz w:val="24"/>
      <w:szCs w:val="32"/>
    </w:rPr>
  </w:style>
  <w:style w:type="paragraph" w:styleId="6">
    <w:name w:val="heading 9"/>
    <w:basedOn w:val="1"/>
    <w:next w:val="1"/>
    <w:link w:val="14"/>
    <w:semiHidden/>
    <w:unhideWhenUsed/>
    <w:qFormat/>
    <w:uiPriority w:val="9"/>
    <w:pPr>
      <w:keepNext/>
      <w:keepLines/>
      <w:widowControl/>
      <w:numPr>
        <w:ilvl w:val="8"/>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64" w:line="317" w:lineRule="auto"/>
      <w:outlineLvl w:val="8"/>
    </w:pPr>
    <w:rPr>
      <w:rFonts w:ascii="Arial" w:hAnsi="Arial" w:eastAsia="黑体" w:cs="宋体"/>
      <w:color w:val="000000"/>
      <w:kern w:val="0"/>
      <w:szCs w:val="32"/>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7">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character" w:customStyle="1" w:styleId="10">
    <w:name w:val="标题 5 Char"/>
    <w:basedOn w:val="9"/>
    <w:link w:val="2"/>
    <w:semiHidden/>
    <w:qFormat/>
    <w:uiPriority w:val="9"/>
    <w:rPr>
      <w:rFonts w:ascii="彩虹粗仿宋" w:hAnsi="宋体" w:eastAsia="彩虹粗仿宋" w:cs="宋体"/>
      <w:b/>
      <w:color w:val="000000"/>
      <w:kern w:val="0"/>
      <w:sz w:val="28"/>
      <w:szCs w:val="32"/>
    </w:rPr>
  </w:style>
  <w:style w:type="character" w:customStyle="1" w:styleId="11">
    <w:name w:val="标题 6 Char"/>
    <w:basedOn w:val="9"/>
    <w:link w:val="3"/>
    <w:semiHidden/>
    <w:qFormat/>
    <w:uiPriority w:val="9"/>
    <w:rPr>
      <w:rFonts w:ascii="Arial" w:hAnsi="Arial" w:eastAsia="黑体" w:cs="宋体"/>
      <w:b/>
      <w:color w:val="000000"/>
      <w:kern w:val="0"/>
      <w:sz w:val="24"/>
      <w:szCs w:val="32"/>
    </w:rPr>
  </w:style>
  <w:style w:type="character" w:customStyle="1" w:styleId="12">
    <w:name w:val="标题 7 Char"/>
    <w:basedOn w:val="9"/>
    <w:link w:val="4"/>
    <w:semiHidden/>
    <w:qFormat/>
    <w:uiPriority w:val="9"/>
    <w:rPr>
      <w:rFonts w:ascii="彩虹粗仿宋" w:hAnsi="宋体" w:eastAsia="彩虹粗仿宋" w:cs="宋体"/>
      <w:b/>
      <w:color w:val="000000"/>
      <w:kern w:val="0"/>
      <w:sz w:val="24"/>
      <w:szCs w:val="32"/>
    </w:rPr>
  </w:style>
  <w:style w:type="character" w:customStyle="1" w:styleId="13">
    <w:name w:val="标题 8 Char"/>
    <w:basedOn w:val="9"/>
    <w:link w:val="5"/>
    <w:semiHidden/>
    <w:qFormat/>
    <w:uiPriority w:val="9"/>
    <w:rPr>
      <w:rFonts w:ascii="Arial" w:hAnsi="Arial" w:eastAsia="黑体" w:cs="宋体"/>
      <w:color w:val="000000"/>
      <w:kern w:val="0"/>
      <w:sz w:val="24"/>
      <w:szCs w:val="32"/>
    </w:rPr>
  </w:style>
  <w:style w:type="character" w:customStyle="1" w:styleId="14">
    <w:name w:val="标题 9 Char"/>
    <w:basedOn w:val="9"/>
    <w:link w:val="6"/>
    <w:semiHidden/>
    <w:qFormat/>
    <w:uiPriority w:val="9"/>
    <w:rPr>
      <w:rFonts w:ascii="Arial" w:hAnsi="Arial" w:eastAsia="黑体" w:cs="宋体"/>
      <w:color w:val="000000"/>
      <w:kern w:val="0"/>
      <w:szCs w:val="32"/>
    </w:rPr>
  </w:style>
  <w:style w:type="paragraph" w:customStyle="1" w:styleId="15">
    <w:name w:val="CCBStyleMainText"/>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587" w:lineRule="atLeast"/>
      <w:ind w:firstLine="880" w:firstLineChars="200"/>
    </w:pPr>
    <w:rPr>
      <w:rFonts w:ascii="彩虹粗仿宋" w:hAnsi="彩虹粗仿宋" w:eastAsia="彩虹粗仿宋" w:cs="彩虹粗仿宋"/>
      <w:color w:val="000000"/>
      <w:kern w:val="0"/>
      <w:sz w:val="32"/>
      <w:szCs w:val="32"/>
    </w:rPr>
  </w:style>
  <w:style w:type="paragraph" w:customStyle="1" w:styleId="16">
    <w:name w:val="CCBLinkStyleFirstTitle"/>
    <w:basedOn w:val="1"/>
    <w:next w:val="15"/>
    <w:qFormat/>
    <w:uiPriority w:val="0"/>
    <w:pPr>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587" w:lineRule="atLeast"/>
      <w:outlineLvl w:val="0"/>
    </w:pPr>
    <w:rPr>
      <w:rFonts w:ascii="彩虹黑体" w:hAnsi="彩虹黑体" w:eastAsia="彩虹黑体" w:cs="彩虹黑体"/>
      <w:color w:val="000000"/>
      <w:kern w:val="0"/>
      <w:sz w:val="32"/>
      <w:szCs w:val="32"/>
    </w:rPr>
  </w:style>
  <w:style w:type="paragraph" w:customStyle="1" w:styleId="17">
    <w:name w:val="CCBLinkStyleSecTitle"/>
    <w:basedOn w:val="1"/>
    <w:next w:val="15"/>
    <w:qFormat/>
    <w:uiPriority w:val="0"/>
    <w:pPr>
      <w:numPr>
        <w:ilvl w:val="1"/>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587" w:lineRule="atLeast"/>
      <w:ind w:left="0"/>
      <w:outlineLvl w:val="1"/>
    </w:pPr>
    <w:rPr>
      <w:rFonts w:ascii="彩虹楷体" w:hAnsi="彩虹楷体" w:eastAsia="彩虹楷体" w:cs="彩虹楷体"/>
      <w:b/>
      <w:color w:val="000000"/>
      <w:kern w:val="0"/>
      <w:sz w:val="32"/>
      <w:szCs w:val="32"/>
    </w:rPr>
  </w:style>
  <w:style w:type="paragraph" w:customStyle="1" w:styleId="18">
    <w:name w:val="CCBLinkStyleThdTitle"/>
    <w:basedOn w:val="1"/>
    <w:next w:val="15"/>
    <w:qFormat/>
    <w:uiPriority w:val="0"/>
    <w:pPr>
      <w:numPr>
        <w:ilvl w:val="2"/>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587" w:lineRule="atLeast"/>
      <w:ind w:firstLine="0"/>
      <w:outlineLvl w:val="2"/>
    </w:pPr>
    <w:rPr>
      <w:rFonts w:ascii="彩虹粗仿宋" w:hAnsi="彩虹粗仿宋" w:eastAsia="彩虹粗仿宋" w:cs="彩虹粗仿宋"/>
      <w:b/>
      <w:color w:val="000000"/>
      <w:kern w:val="0"/>
      <w:sz w:val="32"/>
      <w:szCs w:val="32"/>
    </w:rPr>
  </w:style>
  <w:style w:type="paragraph" w:customStyle="1" w:styleId="19">
    <w:name w:val="CCBLinkStyleFourthTitle"/>
    <w:basedOn w:val="1"/>
    <w:next w:val="15"/>
    <w:qFormat/>
    <w:uiPriority w:val="0"/>
    <w:pPr>
      <w:numPr>
        <w:ilvl w:val="3"/>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587" w:lineRule="atLeast"/>
      <w:ind w:firstLine="0"/>
      <w:outlineLvl w:val="3"/>
    </w:pPr>
    <w:rPr>
      <w:rFonts w:ascii="彩虹粗仿宋" w:hAnsi="彩虹粗仿宋" w:eastAsia="彩虹粗仿宋" w:cs="彩虹粗仿宋"/>
      <w:color w:val="000000"/>
      <w:kern w:val="0"/>
      <w:sz w:val="32"/>
      <w:szCs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2</Pages>
  <Words>113</Words>
  <Characters>649</Characters>
  <Lines>5</Lines>
  <Paragraphs>1</Paragraphs>
  <TotalTime>35</TotalTime>
  <ScaleCrop>false</ScaleCrop>
  <LinksUpToDate>false</LinksUpToDate>
  <CharactersWithSpaces>761</CharactersWithSpaces>
  <Application>WPS Office_12.8.2.15209_F1E327BC-269C-435d-A152-05C5408002CA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2026-07-08T12:53:00Z</dcterms:created>
  <dc:creator>黄海涛</dc:creator>
  <cp:lastModifiedBy>Administrator</cp:lastModifiedBy>
  <dcterms:modified xsi:type="dcterms:W3CDTF">2026-10-27T03:27:00Z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2052-12.8.2.15209</vt:lpwstr>
  </property>
  <property fmtid="{D5CDD505-2E9C-101B-9397-08002B2CF9AE}" pid="3" name="ICV">
    <vt:lpwstr>CE6014EE58204A868763387FE522DB21_13</vt:lpwstr>
  </property>
</Properties>
</file>